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57" w:rsidRDefault="00914557" w:rsidP="006C1DA6">
      <w:pPr>
        <w:pStyle w:val="Zhlav"/>
        <w:jc w:val="center"/>
        <w:rPr>
          <w:b/>
          <w:sz w:val="40"/>
          <w:szCs w:val="40"/>
          <w:lang w:val="cs-CZ"/>
        </w:rPr>
      </w:pPr>
    </w:p>
    <w:p w:rsidR="006C1DA6" w:rsidRPr="007D420E" w:rsidRDefault="00BB5CB3" w:rsidP="006C1DA6">
      <w:pPr>
        <w:pStyle w:val="Zhlav"/>
        <w:jc w:val="center"/>
        <w:rPr>
          <w:b/>
          <w:sz w:val="40"/>
          <w:szCs w:val="40"/>
          <w:lang w:val="cs-CZ"/>
        </w:rPr>
      </w:pPr>
      <w:r w:rsidRPr="007D420E">
        <w:rPr>
          <w:b/>
          <w:sz w:val="40"/>
          <w:szCs w:val="40"/>
          <w:lang w:val="cs-CZ"/>
        </w:rPr>
        <w:t>Podnět</w:t>
      </w:r>
      <w:r w:rsidR="00C37135">
        <w:rPr>
          <w:b/>
          <w:sz w:val="40"/>
          <w:szCs w:val="40"/>
          <w:lang w:val="cs-CZ"/>
        </w:rPr>
        <w:t xml:space="preserve"> </w:t>
      </w:r>
      <w:r w:rsidR="006C1DA6" w:rsidRPr="007D420E">
        <w:rPr>
          <w:b/>
          <w:sz w:val="40"/>
          <w:szCs w:val="40"/>
          <w:lang w:val="cs-CZ"/>
        </w:rPr>
        <w:t xml:space="preserve">zastupitelům hl. m. Prahy o projednání návrhu na zapojení veřejnosti do přípravy Metropolitního </w:t>
      </w:r>
      <w:r w:rsidR="00B75220" w:rsidRPr="007D420E">
        <w:rPr>
          <w:b/>
          <w:sz w:val="40"/>
          <w:szCs w:val="40"/>
          <w:lang w:val="cs-CZ"/>
        </w:rPr>
        <w:t xml:space="preserve">územního </w:t>
      </w:r>
      <w:r w:rsidR="006C1DA6" w:rsidRPr="007D420E">
        <w:rPr>
          <w:b/>
          <w:sz w:val="40"/>
          <w:szCs w:val="40"/>
          <w:lang w:val="cs-CZ"/>
        </w:rPr>
        <w:t>plánu</w:t>
      </w:r>
    </w:p>
    <w:p w:rsidR="00914557" w:rsidRDefault="00914557" w:rsidP="00FC720C">
      <w:pPr>
        <w:spacing w:line="360" w:lineRule="auto"/>
        <w:jc w:val="both"/>
        <w:rPr>
          <w:lang w:val="cs-CZ"/>
        </w:rPr>
      </w:pPr>
    </w:p>
    <w:p w:rsidR="00FC720C" w:rsidRPr="007D420E" w:rsidRDefault="00FC720C" w:rsidP="00FC720C">
      <w:pPr>
        <w:spacing w:line="360" w:lineRule="auto"/>
        <w:jc w:val="both"/>
        <w:rPr>
          <w:lang w:val="cs-CZ"/>
        </w:rPr>
      </w:pPr>
      <w:r w:rsidRPr="007D420E">
        <w:rPr>
          <w:lang w:val="cs-CZ"/>
        </w:rPr>
        <w:t>My, ní</w:t>
      </w:r>
      <w:r w:rsidR="00F74767" w:rsidRPr="007D420E">
        <w:rPr>
          <w:lang w:val="cs-CZ"/>
        </w:rPr>
        <w:t>že podepsaní občané P</w:t>
      </w:r>
      <w:r w:rsidRPr="007D420E">
        <w:rPr>
          <w:lang w:val="cs-CZ"/>
        </w:rPr>
        <w:t>rahy, žádáme tí</w:t>
      </w:r>
      <w:bookmarkStart w:id="0" w:name="_GoBack"/>
      <w:bookmarkEnd w:id="0"/>
      <w:r w:rsidRPr="007D420E">
        <w:rPr>
          <w:lang w:val="cs-CZ"/>
        </w:rPr>
        <w:t>mto naše zastupitele, aby ve smyslu § 7 písm. c) zákona č. 131/2000 Sb.</w:t>
      </w:r>
      <w:r w:rsidR="00E45927" w:rsidRPr="007D420E">
        <w:rPr>
          <w:lang w:val="cs-CZ"/>
        </w:rPr>
        <w:t>, o hlavním městě Praze</w:t>
      </w:r>
      <w:r w:rsidRPr="007D420E">
        <w:rPr>
          <w:lang w:val="cs-CZ"/>
        </w:rPr>
        <w:t xml:space="preserve"> projednali </w:t>
      </w:r>
      <w:r w:rsidR="00094DDC">
        <w:rPr>
          <w:lang w:val="cs-CZ"/>
        </w:rPr>
        <w:t xml:space="preserve">při nejbližším jednání zastupitelstva </w:t>
      </w:r>
      <w:r w:rsidR="00F74767" w:rsidRPr="007D420E">
        <w:rPr>
          <w:lang w:val="cs-CZ"/>
        </w:rPr>
        <w:t>náš podnět a přijali toto usnesení:</w:t>
      </w:r>
    </w:p>
    <w:p w:rsidR="007D420E" w:rsidRPr="00381D4A" w:rsidRDefault="00F74767" w:rsidP="00381D4A">
      <w:pPr>
        <w:spacing w:line="360" w:lineRule="auto"/>
        <w:jc w:val="both"/>
        <w:rPr>
          <w:b/>
          <w:lang w:val="cs-CZ"/>
        </w:rPr>
      </w:pPr>
      <w:r w:rsidRPr="00381D4A">
        <w:rPr>
          <w:b/>
          <w:lang w:val="cs-CZ"/>
        </w:rPr>
        <w:t xml:space="preserve">Zastupitelstvo hl. m. Prahy ukládá Radě hl. m. Prahy připravit a předložit ke schválení soubor opatření pro </w:t>
      </w:r>
      <w:r w:rsidR="00A54410" w:rsidRPr="00381D4A">
        <w:rPr>
          <w:b/>
          <w:lang w:val="cs-CZ"/>
        </w:rPr>
        <w:t xml:space="preserve">efektivní </w:t>
      </w:r>
      <w:r w:rsidRPr="00381D4A">
        <w:rPr>
          <w:b/>
          <w:lang w:val="cs-CZ"/>
        </w:rPr>
        <w:t>participaci veřejnosti při</w:t>
      </w:r>
      <w:r w:rsidR="00A54410" w:rsidRPr="00381D4A">
        <w:rPr>
          <w:b/>
          <w:lang w:val="cs-CZ"/>
        </w:rPr>
        <w:t xml:space="preserve"> přípravě Metropolitního plánu v souladu s usnesením Rady hl. m. </w:t>
      </w:r>
      <w:proofErr w:type="gramStart"/>
      <w:r w:rsidR="00E23CA1" w:rsidRPr="00381D4A">
        <w:rPr>
          <w:b/>
          <w:lang w:val="cs-CZ"/>
        </w:rPr>
        <w:t>Prahy</w:t>
      </w:r>
      <w:proofErr w:type="gramEnd"/>
      <w:r w:rsidR="00E23CA1" w:rsidRPr="00381D4A">
        <w:rPr>
          <w:b/>
          <w:lang w:val="cs-CZ"/>
        </w:rPr>
        <w:t xml:space="preserve"> č. 261 ze dne 17. 2. 2015, kterým se Institutu plánování a rozvoje</w:t>
      </w:r>
      <w:r w:rsidR="00E23CA1">
        <w:rPr>
          <w:b/>
          <w:lang w:val="cs-CZ"/>
        </w:rPr>
        <w:t xml:space="preserve"> </w:t>
      </w:r>
      <w:proofErr w:type="gramStart"/>
      <w:r w:rsidR="00E23CA1">
        <w:rPr>
          <w:b/>
          <w:lang w:val="cs-CZ"/>
        </w:rPr>
        <w:t>hl. m.</w:t>
      </w:r>
      <w:proofErr w:type="gramEnd"/>
      <w:r w:rsidR="00E23CA1">
        <w:rPr>
          <w:b/>
          <w:lang w:val="cs-CZ"/>
        </w:rPr>
        <w:t xml:space="preserve"> </w:t>
      </w:r>
      <w:r w:rsidR="0025123B">
        <w:rPr>
          <w:b/>
          <w:lang w:val="cs-CZ"/>
        </w:rPr>
        <w:t>Prahy</w:t>
      </w:r>
      <w:r w:rsidR="00A54410" w:rsidRPr="00381D4A">
        <w:rPr>
          <w:b/>
          <w:lang w:val="cs-CZ"/>
        </w:rPr>
        <w:t xml:space="preserve"> (IPR) uložilo zpracovat Manuál participace v oblasti strategického, rozvojového a územního plánování</w:t>
      </w:r>
      <w:r w:rsidR="007D420E" w:rsidRPr="00381D4A">
        <w:rPr>
          <w:b/>
          <w:lang w:val="cs-CZ"/>
        </w:rPr>
        <w:t>.</w:t>
      </w:r>
    </w:p>
    <w:p w:rsidR="00F74767" w:rsidRPr="007D420E" w:rsidRDefault="00233A91" w:rsidP="00233A91">
      <w:pPr>
        <w:spacing w:line="360" w:lineRule="auto"/>
        <w:jc w:val="both"/>
        <w:rPr>
          <w:lang w:val="cs-CZ"/>
        </w:rPr>
      </w:pPr>
      <w:r w:rsidRPr="007D420E">
        <w:rPr>
          <w:lang w:val="cs-CZ"/>
        </w:rPr>
        <w:t xml:space="preserve">Důvody, které nás k této žádosti vedly a návrhy, jak situaci řešit, uvádíme v příloze tohoto podnětu. </w:t>
      </w:r>
    </w:p>
    <w:p w:rsidR="00280468" w:rsidRPr="007D420E" w:rsidRDefault="00280468" w:rsidP="00233A91">
      <w:pPr>
        <w:spacing w:line="360" w:lineRule="auto"/>
        <w:jc w:val="both"/>
        <w:rPr>
          <w:b/>
          <w:lang w:val="cs-CZ"/>
        </w:rPr>
      </w:pPr>
      <w:r w:rsidRPr="007D420E">
        <w:rPr>
          <w:b/>
          <w:lang w:val="cs-CZ"/>
        </w:rPr>
        <w:t>Podpisová listina</w:t>
      </w:r>
      <w:r w:rsidR="00914557">
        <w:rPr>
          <w:b/>
          <w:lang w:val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5"/>
        <w:gridCol w:w="2487"/>
        <w:gridCol w:w="1653"/>
        <w:gridCol w:w="1545"/>
        <w:gridCol w:w="1619"/>
        <w:gridCol w:w="1449"/>
      </w:tblGrid>
      <w:tr w:rsidR="00F74767" w:rsidRPr="00B75220" w:rsidTr="00F74767">
        <w:tc>
          <w:tcPr>
            <w:tcW w:w="535" w:type="dxa"/>
          </w:tcPr>
          <w:p w:rsidR="00F74767" w:rsidRPr="007D420E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2487" w:type="dxa"/>
          </w:tcPr>
          <w:p w:rsidR="00F74767" w:rsidRPr="007D420E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  <w:r w:rsidRPr="007D420E">
              <w:rPr>
                <w:b/>
                <w:lang w:val="cs-CZ"/>
              </w:rPr>
              <w:t>Jméno a příjmení</w:t>
            </w:r>
          </w:p>
        </w:tc>
        <w:tc>
          <w:tcPr>
            <w:tcW w:w="1653" w:type="dxa"/>
          </w:tcPr>
          <w:p w:rsidR="00F74767" w:rsidRPr="007D420E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  <w:r w:rsidRPr="007D420E">
              <w:rPr>
                <w:b/>
                <w:lang w:val="cs-CZ"/>
              </w:rPr>
              <w:t>Trvalý pobyt v rámci Prahy</w:t>
            </w:r>
          </w:p>
        </w:tc>
        <w:tc>
          <w:tcPr>
            <w:tcW w:w="1545" w:type="dxa"/>
          </w:tcPr>
          <w:p w:rsidR="00F74767" w:rsidRPr="007D420E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  <w:r w:rsidRPr="007D420E">
              <w:rPr>
                <w:b/>
                <w:lang w:val="cs-CZ"/>
              </w:rPr>
              <w:t>Datum narození</w:t>
            </w:r>
          </w:p>
        </w:tc>
        <w:tc>
          <w:tcPr>
            <w:tcW w:w="1619" w:type="dxa"/>
          </w:tcPr>
          <w:p w:rsidR="00F74767" w:rsidRPr="007D420E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  <w:r w:rsidRPr="007D420E">
              <w:rPr>
                <w:b/>
                <w:lang w:val="cs-CZ"/>
              </w:rPr>
              <w:t>Podpis</w:t>
            </w:r>
          </w:p>
        </w:tc>
        <w:tc>
          <w:tcPr>
            <w:tcW w:w="1449" w:type="dxa"/>
          </w:tcPr>
          <w:p w:rsidR="00F74767" w:rsidRPr="007D420E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  <w:r w:rsidRPr="007D420E">
              <w:rPr>
                <w:b/>
                <w:lang w:val="cs-CZ"/>
              </w:rPr>
              <w:t>E-mail</w:t>
            </w:r>
            <w:r w:rsidR="007B1CC7" w:rsidRPr="007D420E">
              <w:rPr>
                <w:b/>
                <w:lang w:val="cs-CZ"/>
              </w:rPr>
              <w:t>*</w:t>
            </w:r>
          </w:p>
        </w:tc>
      </w:tr>
      <w:tr w:rsidR="00F74767" w:rsidRPr="00B75220" w:rsidTr="00F74767">
        <w:tc>
          <w:tcPr>
            <w:tcW w:w="535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  <w:r w:rsidRPr="003A0E08">
              <w:rPr>
                <w:b/>
                <w:lang w:val="cs-CZ"/>
              </w:rPr>
              <w:t xml:space="preserve">1. </w:t>
            </w:r>
          </w:p>
        </w:tc>
        <w:tc>
          <w:tcPr>
            <w:tcW w:w="2487" w:type="dxa"/>
          </w:tcPr>
          <w:p w:rsidR="00F74767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  <w:p w:rsidR="00914557" w:rsidRDefault="0091455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  <w:p w:rsidR="00914557" w:rsidRPr="003A0E08" w:rsidRDefault="0091455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653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545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619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449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</w:tr>
      <w:tr w:rsidR="00F74767" w:rsidRPr="00B75220" w:rsidTr="00F74767">
        <w:tc>
          <w:tcPr>
            <w:tcW w:w="535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  <w:r w:rsidRPr="003A0E08">
              <w:rPr>
                <w:b/>
                <w:lang w:val="cs-CZ"/>
              </w:rPr>
              <w:t>2.</w:t>
            </w:r>
          </w:p>
        </w:tc>
        <w:tc>
          <w:tcPr>
            <w:tcW w:w="2487" w:type="dxa"/>
          </w:tcPr>
          <w:p w:rsidR="00F74767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  <w:p w:rsidR="00914557" w:rsidRDefault="0091455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  <w:p w:rsidR="00914557" w:rsidRPr="003A0E08" w:rsidRDefault="0091455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653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545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619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449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</w:tr>
      <w:tr w:rsidR="00F74767" w:rsidRPr="00B75220" w:rsidTr="00F74767">
        <w:tc>
          <w:tcPr>
            <w:tcW w:w="535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  <w:r w:rsidRPr="003A0E08">
              <w:rPr>
                <w:b/>
                <w:lang w:val="cs-CZ"/>
              </w:rPr>
              <w:t>3.</w:t>
            </w:r>
          </w:p>
        </w:tc>
        <w:tc>
          <w:tcPr>
            <w:tcW w:w="2487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653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545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619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449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</w:tr>
      <w:tr w:rsidR="00F74767" w:rsidRPr="00B75220" w:rsidTr="00F74767">
        <w:tc>
          <w:tcPr>
            <w:tcW w:w="535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  <w:r w:rsidRPr="003A0E08">
              <w:rPr>
                <w:b/>
                <w:lang w:val="cs-CZ"/>
              </w:rPr>
              <w:t>4.</w:t>
            </w:r>
          </w:p>
        </w:tc>
        <w:tc>
          <w:tcPr>
            <w:tcW w:w="2487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653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545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619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449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</w:tr>
      <w:tr w:rsidR="00F74767" w:rsidRPr="00B75220" w:rsidTr="00F74767">
        <w:tc>
          <w:tcPr>
            <w:tcW w:w="535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  <w:r w:rsidRPr="003A0E08">
              <w:rPr>
                <w:b/>
                <w:lang w:val="cs-CZ"/>
              </w:rPr>
              <w:t>5.</w:t>
            </w:r>
          </w:p>
        </w:tc>
        <w:tc>
          <w:tcPr>
            <w:tcW w:w="2487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653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545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619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449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</w:tr>
      <w:tr w:rsidR="00F74767" w:rsidRPr="00B75220" w:rsidTr="00F74767">
        <w:tc>
          <w:tcPr>
            <w:tcW w:w="535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2487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653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545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619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449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</w:tr>
      <w:tr w:rsidR="00F74767" w:rsidRPr="00B75220" w:rsidTr="00F74767">
        <w:tc>
          <w:tcPr>
            <w:tcW w:w="535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2487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653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545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619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449" w:type="dxa"/>
          </w:tcPr>
          <w:p w:rsidR="00F74767" w:rsidRPr="003A0E08" w:rsidRDefault="00F74767" w:rsidP="00FC720C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</w:tr>
      <w:tr w:rsidR="00F74767" w:rsidRPr="00B75220" w:rsidTr="00F74767">
        <w:tc>
          <w:tcPr>
            <w:tcW w:w="535" w:type="dxa"/>
          </w:tcPr>
          <w:p w:rsidR="00F74767" w:rsidRPr="003A0E08" w:rsidRDefault="00F74767" w:rsidP="00F205EA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2487" w:type="dxa"/>
          </w:tcPr>
          <w:p w:rsidR="00F74767" w:rsidRPr="003A0E08" w:rsidRDefault="00F74767" w:rsidP="00F205EA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653" w:type="dxa"/>
          </w:tcPr>
          <w:p w:rsidR="00F74767" w:rsidRPr="003A0E08" w:rsidRDefault="00F74767" w:rsidP="00F205EA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545" w:type="dxa"/>
          </w:tcPr>
          <w:p w:rsidR="00F74767" w:rsidRPr="003A0E08" w:rsidRDefault="00F74767" w:rsidP="00F205EA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619" w:type="dxa"/>
          </w:tcPr>
          <w:p w:rsidR="00F74767" w:rsidRPr="003A0E08" w:rsidRDefault="00F74767" w:rsidP="00F205EA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449" w:type="dxa"/>
          </w:tcPr>
          <w:p w:rsidR="00F74767" w:rsidRPr="003A0E08" w:rsidRDefault="00F74767" w:rsidP="00F205EA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</w:tr>
      <w:tr w:rsidR="00F74767" w:rsidRPr="00B75220" w:rsidTr="00F74767">
        <w:tc>
          <w:tcPr>
            <w:tcW w:w="535" w:type="dxa"/>
          </w:tcPr>
          <w:p w:rsidR="00F74767" w:rsidRPr="003A0E08" w:rsidRDefault="00F74767" w:rsidP="00F205EA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2487" w:type="dxa"/>
          </w:tcPr>
          <w:p w:rsidR="00F74767" w:rsidRPr="003A0E08" w:rsidRDefault="00F74767" w:rsidP="00F205EA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653" w:type="dxa"/>
          </w:tcPr>
          <w:p w:rsidR="00F74767" w:rsidRPr="003A0E08" w:rsidRDefault="00F74767" w:rsidP="00F205EA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545" w:type="dxa"/>
          </w:tcPr>
          <w:p w:rsidR="00F74767" w:rsidRPr="003A0E08" w:rsidRDefault="00F74767" w:rsidP="00F205EA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619" w:type="dxa"/>
          </w:tcPr>
          <w:p w:rsidR="00F74767" w:rsidRPr="003A0E08" w:rsidRDefault="00F74767" w:rsidP="00F205EA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1449" w:type="dxa"/>
          </w:tcPr>
          <w:p w:rsidR="00F74767" w:rsidRPr="003A0E08" w:rsidRDefault="00F74767" w:rsidP="00F205EA">
            <w:pPr>
              <w:spacing w:line="360" w:lineRule="auto"/>
              <w:jc w:val="center"/>
              <w:rPr>
                <w:b/>
                <w:lang w:val="cs-CZ"/>
              </w:rPr>
            </w:pPr>
          </w:p>
        </w:tc>
      </w:tr>
    </w:tbl>
    <w:p w:rsidR="00FC720C" w:rsidRPr="003A0E08" w:rsidRDefault="00FC720C" w:rsidP="00FC720C">
      <w:pPr>
        <w:spacing w:line="360" w:lineRule="auto"/>
        <w:jc w:val="both"/>
        <w:rPr>
          <w:lang w:val="cs-CZ"/>
        </w:rPr>
      </w:pPr>
    </w:p>
    <w:p w:rsidR="00D31129" w:rsidRDefault="00D31129" w:rsidP="00FC720C">
      <w:pPr>
        <w:spacing w:line="360" w:lineRule="auto"/>
        <w:jc w:val="both"/>
        <w:rPr>
          <w:b/>
          <w:lang w:val="cs-CZ"/>
        </w:rPr>
      </w:pPr>
    </w:p>
    <w:p w:rsidR="009C7B94" w:rsidRPr="00BC354E" w:rsidRDefault="009C7B94" w:rsidP="00FC720C">
      <w:pPr>
        <w:spacing w:line="360" w:lineRule="auto"/>
        <w:jc w:val="both"/>
        <w:rPr>
          <w:b/>
          <w:sz w:val="40"/>
          <w:szCs w:val="40"/>
          <w:lang w:val="cs-CZ"/>
        </w:rPr>
      </w:pPr>
      <w:r w:rsidRPr="00BC354E">
        <w:rPr>
          <w:b/>
          <w:sz w:val="40"/>
          <w:szCs w:val="40"/>
          <w:lang w:val="cs-CZ"/>
        </w:rPr>
        <w:t>Příloha: Odůvodnění žádosti a návrhy řešení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>Vážené zastupitelky, vážení zastupitelé.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>Dovolujeme si předložit Vám žádost obyvatel Prahy, kteří by se rádi zapojili do přípravy Metropolitního plánu. Ten je nejvýznamnějším počinem v územním plánování Prahy za posledních patnáct let. Veřejnosti je však od počátku znemožněno se do rozhodování o budoucnosti metropole</w:t>
      </w:r>
      <w:r w:rsidR="00B75220" w:rsidRPr="003A0E08">
        <w:rPr>
          <w:lang w:val="cs-CZ"/>
        </w:rPr>
        <w:t xml:space="preserve"> zapojit</w:t>
      </w:r>
      <w:r w:rsidRPr="003A0E08">
        <w:rPr>
          <w:lang w:val="cs-CZ"/>
        </w:rPr>
        <w:t>. Přesto, že jsme opakovaně Institutem plánování a rozvoje ujišťováni, že občané dostávají mimořádně výrazný prostor, neměli jsme doposud možnost se skutečně vyjádřit.</w:t>
      </w:r>
      <w:r w:rsidR="00B75220">
        <w:rPr>
          <w:lang w:val="cs-CZ"/>
        </w:rPr>
        <w:t xml:space="preserve"> Podotýkáme, že příprava Metropolitního plánu probíhá za zavřenými dveřmi už tři roky.</w:t>
      </w:r>
    </w:p>
    <w:p w:rsidR="009C7B94" w:rsidRPr="003A0E08" w:rsidRDefault="00FF2682" w:rsidP="009C7B94">
      <w:pPr>
        <w:jc w:val="both"/>
        <w:rPr>
          <w:lang w:val="cs-CZ"/>
        </w:rPr>
      </w:pPr>
      <w:r w:rsidRPr="003A0E08">
        <w:rPr>
          <w:lang w:val="cs-CZ"/>
        </w:rPr>
        <w:t>Jedin</w:t>
      </w:r>
      <w:r>
        <w:rPr>
          <w:lang w:val="cs-CZ"/>
        </w:rPr>
        <w:t xml:space="preserve">ou příležitostí, </w:t>
      </w:r>
      <w:r w:rsidR="009C7B94" w:rsidRPr="003A0E08">
        <w:rPr>
          <w:lang w:val="cs-CZ"/>
        </w:rPr>
        <w:t>kdy jsme mohli alespoň nějaké podněty zaslat, byla fáze zadání. Nejednalo se samozřejmě o žádnou dobrou vůli</w:t>
      </w:r>
      <w:r>
        <w:rPr>
          <w:lang w:val="cs-CZ"/>
        </w:rPr>
        <w:t xml:space="preserve"> úřadů</w:t>
      </w:r>
      <w:r w:rsidR="009C7B94" w:rsidRPr="003A0E08">
        <w:rPr>
          <w:lang w:val="cs-CZ"/>
        </w:rPr>
        <w:t xml:space="preserve">, ale o formální splnění zákonných požadavků. Většina připomínek, které </w:t>
      </w:r>
      <w:r>
        <w:rPr>
          <w:lang w:val="cs-CZ"/>
        </w:rPr>
        <w:t>m</w:t>
      </w:r>
      <w:r w:rsidRPr="003A0E08">
        <w:rPr>
          <w:lang w:val="cs-CZ"/>
        </w:rPr>
        <w:t xml:space="preserve">agistrát </w:t>
      </w:r>
      <w:r w:rsidR="009C7B94" w:rsidRPr="003A0E08">
        <w:rPr>
          <w:lang w:val="cs-CZ"/>
        </w:rPr>
        <w:t>obdržel k návrhu zadání, byla odmítnuta s nepříliš důvěryhodným lakonickým odůvodněním</w:t>
      </w:r>
      <w:r w:rsidR="00900AE6">
        <w:rPr>
          <w:lang w:val="cs-CZ"/>
        </w:rPr>
        <w:t>. N</w:t>
      </w:r>
      <w:r w:rsidR="009C7B94" w:rsidRPr="003A0E08">
        <w:rPr>
          <w:lang w:val="cs-CZ"/>
        </w:rPr>
        <w:t>ejčastěji s tím, že tyto otázky do zadání nepatří nebo</w:t>
      </w:r>
      <w:r w:rsidR="00900AE6">
        <w:rPr>
          <w:lang w:val="cs-CZ"/>
        </w:rPr>
        <w:t>,</w:t>
      </w:r>
      <w:r w:rsidR="009C7B94" w:rsidRPr="003A0E08">
        <w:rPr>
          <w:lang w:val="cs-CZ"/>
        </w:rPr>
        <w:t xml:space="preserve"> že je vše v souladu se stavebním zákonem. 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 xml:space="preserve">S takovým postupem nesouhlasíme a žádáme, aby bylo všem občanům Prahy dovoleno vyjádřit se k rozvoji </w:t>
      </w:r>
      <w:r w:rsidR="00FF2682">
        <w:rPr>
          <w:lang w:val="cs-CZ"/>
        </w:rPr>
        <w:t>našeho</w:t>
      </w:r>
      <w:r w:rsidR="00900AE6">
        <w:rPr>
          <w:lang w:val="cs-CZ"/>
        </w:rPr>
        <w:t xml:space="preserve"> </w:t>
      </w:r>
      <w:r w:rsidRPr="003A0E08">
        <w:rPr>
          <w:lang w:val="cs-CZ"/>
        </w:rPr>
        <w:t xml:space="preserve">města. Takový postup je v souladu s usnesením Rady hl. m. Prahy č. 261 ze dne 17. 2. 2015, kterým se Institutu plánování a rozvoje (IPR) uložilo zpracovat Manuál participace v oblasti strategického, rozvojového a územního plánování a také s předvolebními sliby většiny politických stran. 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 xml:space="preserve">V odůvodnění usnesení se mj. uvádí: </w:t>
      </w:r>
      <w:r w:rsidRPr="003A0E08">
        <w:rPr>
          <w:i/>
          <w:lang w:val="cs-CZ"/>
        </w:rPr>
        <w:t>„Hlavní m</w:t>
      </w:r>
      <w:r w:rsidRPr="003A0E08">
        <w:rPr>
          <w:rFonts w:ascii="Calibri" w:hAnsi="Calibri" w:cs="Calibri"/>
          <w:i/>
          <w:lang w:val="cs-CZ"/>
        </w:rPr>
        <w:t>ě</w:t>
      </w:r>
      <w:r w:rsidRPr="003A0E08">
        <w:rPr>
          <w:i/>
          <w:lang w:val="cs-CZ"/>
        </w:rPr>
        <w:t>sto Praha si uv</w:t>
      </w:r>
      <w:r w:rsidRPr="003A0E08">
        <w:rPr>
          <w:rFonts w:ascii="Calibri" w:hAnsi="Calibri" w:cs="Calibri"/>
          <w:i/>
          <w:lang w:val="cs-CZ"/>
        </w:rPr>
        <w:t>ě</w:t>
      </w:r>
      <w:r w:rsidRPr="003A0E08">
        <w:rPr>
          <w:i/>
          <w:lang w:val="cs-CZ"/>
        </w:rPr>
        <w:t>domuje přínosy participativního plánování, tedy konceptu, který má za cíl harmonizovat názory mezi hlavními ú</w:t>
      </w:r>
      <w:r w:rsidRPr="003A0E08">
        <w:rPr>
          <w:rFonts w:ascii="Calibri" w:hAnsi="Calibri" w:cs="Calibri"/>
          <w:i/>
          <w:lang w:val="cs-CZ"/>
        </w:rPr>
        <w:t>č</w:t>
      </w:r>
      <w:r w:rsidRPr="003A0E08">
        <w:rPr>
          <w:i/>
          <w:lang w:val="cs-CZ"/>
        </w:rPr>
        <w:t>astníky plánovacích proces</w:t>
      </w:r>
      <w:r w:rsidRPr="003A0E08">
        <w:rPr>
          <w:rFonts w:ascii="Calibri" w:hAnsi="Calibri" w:cs="Calibri"/>
          <w:i/>
          <w:lang w:val="cs-CZ"/>
        </w:rPr>
        <w:t>ů</w:t>
      </w:r>
      <w:r w:rsidRPr="003A0E08">
        <w:rPr>
          <w:i/>
          <w:lang w:val="cs-CZ"/>
        </w:rPr>
        <w:t>, budovat konsensus a p</w:t>
      </w:r>
      <w:r w:rsidRPr="003A0E08">
        <w:rPr>
          <w:rFonts w:ascii="Calibri" w:hAnsi="Calibri" w:cs="Calibri"/>
          <w:i/>
          <w:lang w:val="cs-CZ"/>
        </w:rPr>
        <w:t>ř</w:t>
      </w:r>
      <w:r w:rsidRPr="003A0E08">
        <w:rPr>
          <w:i/>
          <w:lang w:val="cs-CZ"/>
        </w:rPr>
        <w:t>edcházet konflikt</w:t>
      </w:r>
      <w:r w:rsidRPr="003A0E08">
        <w:rPr>
          <w:rFonts w:ascii="Calibri" w:hAnsi="Calibri" w:cs="Calibri"/>
          <w:i/>
          <w:lang w:val="cs-CZ"/>
        </w:rPr>
        <w:t>ů</w:t>
      </w:r>
      <w:r w:rsidRPr="003A0E08">
        <w:rPr>
          <w:i/>
          <w:lang w:val="cs-CZ"/>
        </w:rPr>
        <w:t>m mezi stranami zastupujícími r</w:t>
      </w:r>
      <w:r w:rsidRPr="003A0E08">
        <w:rPr>
          <w:rFonts w:ascii="Calibri" w:hAnsi="Calibri" w:cs="Calibri"/>
          <w:i/>
          <w:lang w:val="cs-CZ"/>
        </w:rPr>
        <w:t>ů</w:t>
      </w:r>
      <w:r w:rsidRPr="003A0E08">
        <w:rPr>
          <w:i/>
          <w:lang w:val="cs-CZ"/>
        </w:rPr>
        <w:t>zné zájmy. Efektivní participace ve</w:t>
      </w:r>
      <w:r w:rsidRPr="003A0E08">
        <w:rPr>
          <w:rFonts w:ascii="Calibri" w:hAnsi="Calibri" w:cs="Calibri"/>
          <w:i/>
          <w:lang w:val="cs-CZ"/>
        </w:rPr>
        <w:t>ř</w:t>
      </w:r>
      <w:r w:rsidRPr="003A0E08">
        <w:rPr>
          <w:i/>
          <w:lang w:val="cs-CZ"/>
        </w:rPr>
        <w:t>ejnosti eliminuje pr</w:t>
      </w:r>
      <w:r w:rsidRPr="003A0E08">
        <w:rPr>
          <w:rFonts w:ascii="Calibri" w:hAnsi="Calibri" w:cs="Calibri"/>
          <w:i/>
          <w:lang w:val="cs-CZ"/>
        </w:rPr>
        <w:t>ů</w:t>
      </w:r>
      <w:r w:rsidRPr="003A0E08">
        <w:rPr>
          <w:i/>
          <w:lang w:val="cs-CZ"/>
        </w:rPr>
        <w:t>tahy v projednávání investi</w:t>
      </w:r>
      <w:r w:rsidRPr="003A0E08">
        <w:rPr>
          <w:rFonts w:ascii="Calibri" w:hAnsi="Calibri" w:cs="Calibri"/>
          <w:i/>
          <w:lang w:val="cs-CZ"/>
        </w:rPr>
        <w:t>č</w:t>
      </w:r>
      <w:r w:rsidRPr="003A0E08">
        <w:rPr>
          <w:i/>
          <w:lang w:val="cs-CZ"/>
        </w:rPr>
        <w:t>ních zám</w:t>
      </w:r>
      <w:r w:rsidRPr="003A0E08">
        <w:rPr>
          <w:rFonts w:ascii="Calibri" w:hAnsi="Calibri" w:cs="Calibri"/>
          <w:i/>
          <w:lang w:val="cs-CZ"/>
        </w:rPr>
        <w:t>ě</w:t>
      </w:r>
      <w:r w:rsidRPr="003A0E08">
        <w:rPr>
          <w:i/>
          <w:lang w:val="cs-CZ"/>
        </w:rPr>
        <w:t>r</w:t>
      </w:r>
      <w:r w:rsidRPr="003A0E08">
        <w:rPr>
          <w:rFonts w:ascii="Calibri" w:hAnsi="Calibri" w:cs="Calibri"/>
          <w:i/>
          <w:lang w:val="cs-CZ"/>
        </w:rPr>
        <w:t>ů</w:t>
      </w:r>
      <w:r w:rsidRPr="003A0E08">
        <w:rPr>
          <w:i/>
          <w:lang w:val="cs-CZ"/>
        </w:rPr>
        <w:t xml:space="preserve"> a šet</w:t>
      </w:r>
      <w:r w:rsidRPr="003A0E08">
        <w:rPr>
          <w:rFonts w:ascii="Calibri" w:hAnsi="Calibri" w:cs="Calibri"/>
          <w:i/>
          <w:lang w:val="cs-CZ"/>
        </w:rPr>
        <w:t>ř</w:t>
      </w:r>
      <w:r w:rsidRPr="003A0E08">
        <w:rPr>
          <w:i/>
          <w:lang w:val="cs-CZ"/>
        </w:rPr>
        <w:t xml:space="preserve">í tak </w:t>
      </w:r>
      <w:r w:rsidRPr="003A0E08">
        <w:rPr>
          <w:rFonts w:ascii="Calibri" w:hAnsi="Calibri" w:cs="Calibri"/>
          <w:i/>
          <w:lang w:val="cs-CZ"/>
        </w:rPr>
        <w:t>č</w:t>
      </w:r>
      <w:r w:rsidRPr="003A0E08">
        <w:rPr>
          <w:i/>
          <w:lang w:val="cs-CZ"/>
        </w:rPr>
        <w:t>as, lidské i finan</w:t>
      </w:r>
      <w:r w:rsidRPr="003A0E08">
        <w:rPr>
          <w:rFonts w:ascii="Calibri" w:hAnsi="Calibri" w:cs="Calibri"/>
          <w:i/>
          <w:lang w:val="cs-CZ"/>
        </w:rPr>
        <w:t>č</w:t>
      </w:r>
      <w:r w:rsidRPr="003A0E08">
        <w:rPr>
          <w:i/>
          <w:lang w:val="cs-CZ"/>
        </w:rPr>
        <w:t>ní zdroje.“</w:t>
      </w:r>
      <w:r w:rsidRPr="003A0E08">
        <w:rPr>
          <w:lang w:val="cs-CZ"/>
        </w:rPr>
        <w:t xml:space="preserve"> Věříme, že tato slova </w:t>
      </w:r>
      <w:r w:rsidR="00FF2682" w:rsidRPr="003A0E08">
        <w:rPr>
          <w:lang w:val="cs-CZ"/>
        </w:rPr>
        <w:t>ne</w:t>
      </w:r>
      <w:r w:rsidR="00FF2682">
        <w:rPr>
          <w:lang w:val="cs-CZ"/>
        </w:rPr>
        <w:t>měla zůstat</w:t>
      </w:r>
      <w:r w:rsidR="002815A2">
        <w:rPr>
          <w:lang w:val="cs-CZ"/>
        </w:rPr>
        <w:t xml:space="preserve"> </w:t>
      </w:r>
      <w:r w:rsidRPr="003A0E08">
        <w:rPr>
          <w:lang w:val="cs-CZ"/>
        </w:rPr>
        <w:t xml:space="preserve">jen </w:t>
      </w:r>
      <w:r w:rsidR="00FF2682">
        <w:rPr>
          <w:lang w:val="cs-CZ"/>
        </w:rPr>
        <w:t>prázdnou</w:t>
      </w:r>
      <w:r w:rsidR="002815A2">
        <w:rPr>
          <w:lang w:val="cs-CZ"/>
        </w:rPr>
        <w:t xml:space="preserve"> </w:t>
      </w:r>
      <w:r w:rsidRPr="003A0E08">
        <w:rPr>
          <w:lang w:val="cs-CZ"/>
        </w:rPr>
        <w:t>proklamací a že byla myšlena zcela vážně.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>Neumíme si představit vhodnější situaci, kdy skutečně zapojit veřejnost v souladu s nejnovějšími poznatky v oblasti participace. Právě Metropolitní plán bude oním dokumentem, který předurčí podobu Prahy a řekne, jak budou její obyvatelé žít. Zapojení v jakékoli pozdější fázi</w:t>
      </w:r>
      <w:r w:rsidR="00FF2682">
        <w:rPr>
          <w:lang w:val="cs-CZ"/>
        </w:rPr>
        <w:t>, než je ta současná,</w:t>
      </w:r>
      <w:r w:rsidRPr="003A0E08">
        <w:rPr>
          <w:lang w:val="cs-CZ"/>
        </w:rPr>
        <w:t xml:space="preserve"> bude postrádat smysl a bude už jen pouhou parodií. 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 xml:space="preserve">Vyzýváme </w:t>
      </w:r>
      <w:r w:rsidR="00900AE6">
        <w:rPr>
          <w:lang w:val="cs-CZ"/>
        </w:rPr>
        <w:t>V</w:t>
      </w:r>
      <w:r w:rsidRPr="003A0E08">
        <w:rPr>
          <w:lang w:val="cs-CZ"/>
        </w:rPr>
        <w:t>ás proto, abyste potvrdili, že Rada ne</w:t>
      </w:r>
      <w:r w:rsidR="00FF2682">
        <w:rPr>
          <w:lang w:val="cs-CZ"/>
        </w:rPr>
        <w:t xml:space="preserve">chce zůstat při prázdných slibech </w:t>
      </w:r>
      <w:r w:rsidRPr="003A0E08">
        <w:rPr>
          <w:lang w:val="cs-CZ"/>
        </w:rPr>
        <w:t>a že máte zájem n</w:t>
      </w:r>
      <w:r w:rsidR="00FF2682">
        <w:rPr>
          <w:lang w:val="cs-CZ"/>
        </w:rPr>
        <w:t>a</w:t>
      </w:r>
      <w:r w:rsidRPr="003A0E08">
        <w:rPr>
          <w:lang w:val="cs-CZ"/>
        </w:rPr>
        <w:t xml:space="preserve"> tom, abyste plnili vůli svých voličů. Předkládáme Vám deset důvodů, proč hlasovat pro podporu usnesení, které zajistí Pražanům možnost se včas a právoplatně vyjádřit. Předej</w:t>
      </w:r>
      <w:r w:rsidR="00900AE6">
        <w:rPr>
          <w:lang w:val="cs-CZ"/>
        </w:rPr>
        <w:t>de</w:t>
      </w:r>
      <w:r w:rsidRPr="003A0E08">
        <w:rPr>
          <w:lang w:val="cs-CZ"/>
        </w:rPr>
        <w:t xml:space="preserve">te tím z velké části pozdějším problémům a </w:t>
      </w:r>
      <w:r w:rsidR="00FF2682">
        <w:rPr>
          <w:lang w:val="cs-CZ"/>
        </w:rPr>
        <w:t xml:space="preserve">soudním </w:t>
      </w:r>
      <w:r w:rsidRPr="003A0E08">
        <w:rPr>
          <w:lang w:val="cs-CZ"/>
        </w:rPr>
        <w:t>sporům</w:t>
      </w:r>
      <w:r w:rsidR="00900AE6">
        <w:rPr>
          <w:lang w:val="cs-CZ"/>
        </w:rPr>
        <w:t>. A</w:t>
      </w:r>
      <w:r w:rsidRPr="003A0E08">
        <w:rPr>
          <w:lang w:val="cs-CZ"/>
        </w:rPr>
        <w:t xml:space="preserve"> hlavně nasměrujete územní plánování </w:t>
      </w:r>
      <w:r w:rsidR="00900AE6">
        <w:rPr>
          <w:lang w:val="cs-CZ"/>
        </w:rPr>
        <w:t>P</w:t>
      </w:r>
      <w:r w:rsidRPr="003A0E08">
        <w:rPr>
          <w:lang w:val="cs-CZ"/>
        </w:rPr>
        <w:t xml:space="preserve">rahy po dlouhých letech </w:t>
      </w:r>
      <w:r w:rsidR="00FF2682">
        <w:rPr>
          <w:lang w:val="cs-CZ"/>
        </w:rPr>
        <w:t>korupce, mlžení a netransparentní</w:t>
      </w:r>
      <w:r w:rsidR="00900AE6">
        <w:rPr>
          <w:lang w:val="cs-CZ"/>
        </w:rPr>
        <w:t>ho</w:t>
      </w:r>
      <w:r w:rsidR="00FF2682">
        <w:rPr>
          <w:lang w:val="cs-CZ"/>
        </w:rPr>
        <w:t xml:space="preserve"> rozhodování za zavřenými dveřmi </w:t>
      </w:r>
      <w:r w:rsidRPr="003A0E08">
        <w:rPr>
          <w:lang w:val="cs-CZ"/>
        </w:rPr>
        <w:t>správným směrem</w:t>
      </w:r>
      <w:r w:rsidR="00FF2682">
        <w:rPr>
          <w:lang w:val="cs-CZ"/>
        </w:rPr>
        <w:t>, kterým se ubírají všechna moderní města civilizovaného světa</w:t>
      </w:r>
      <w:r w:rsidRPr="003A0E08">
        <w:rPr>
          <w:lang w:val="cs-CZ"/>
        </w:rPr>
        <w:t xml:space="preserve">. </w:t>
      </w:r>
    </w:p>
    <w:p w:rsidR="004866F7" w:rsidRDefault="004866F7" w:rsidP="009C7B94">
      <w:pPr>
        <w:jc w:val="both"/>
        <w:rPr>
          <w:lang w:val="cs-CZ"/>
        </w:rPr>
      </w:pPr>
    </w:p>
    <w:p w:rsidR="00381D4A" w:rsidRPr="003A0E08" w:rsidRDefault="00381D4A" w:rsidP="009C7B94">
      <w:pPr>
        <w:jc w:val="both"/>
        <w:rPr>
          <w:lang w:val="cs-CZ"/>
        </w:rPr>
      </w:pPr>
    </w:p>
    <w:p w:rsidR="004866F7" w:rsidRPr="003A0E08" w:rsidRDefault="004866F7" w:rsidP="009C7B94">
      <w:pPr>
        <w:jc w:val="both"/>
        <w:rPr>
          <w:lang w:val="cs-CZ"/>
        </w:rPr>
      </w:pPr>
    </w:p>
    <w:p w:rsidR="00914557" w:rsidRDefault="00914557" w:rsidP="007745FE">
      <w:pPr>
        <w:ind w:left="708" w:firstLine="708"/>
        <w:jc w:val="center"/>
        <w:rPr>
          <w:b/>
          <w:sz w:val="32"/>
          <w:szCs w:val="32"/>
          <w:lang w:val="cs-CZ"/>
        </w:rPr>
      </w:pPr>
    </w:p>
    <w:p w:rsidR="00FF2682" w:rsidRPr="003A0E08" w:rsidRDefault="00FF2682" w:rsidP="00914557">
      <w:pPr>
        <w:ind w:left="708" w:firstLine="708"/>
        <w:rPr>
          <w:b/>
          <w:sz w:val="32"/>
          <w:szCs w:val="32"/>
          <w:lang w:val="cs-CZ"/>
        </w:rPr>
      </w:pPr>
      <w:r w:rsidRPr="003A0E08">
        <w:rPr>
          <w:b/>
          <w:sz w:val="32"/>
          <w:szCs w:val="32"/>
          <w:lang w:val="cs-CZ"/>
        </w:rPr>
        <w:t>Občanský duch Metropolitního</w:t>
      </w:r>
      <w:r w:rsidR="007745FE">
        <w:rPr>
          <w:b/>
          <w:sz w:val="32"/>
          <w:szCs w:val="32"/>
          <w:lang w:val="cs-CZ"/>
        </w:rPr>
        <w:t xml:space="preserve"> </w:t>
      </w:r>
      <w:r>
        <w:rPr>
          <w:b/>
          <w:sz w:val="32"/>
          <w:szCs w:val="32"/>
          <w:lang w:val="cs-CZ"/>
        </w:rPr>
        <w:t xml:space="preserve">územního </w:t>
      </w:r>
      <w:r w:rsidRPr="003A0E08">
        <w:rPr>
          <w:b/>
          <w:sz w:val="32"/>
          <w:szCs w:val="32"/>
          <w:lang w:val="cs-CZ"/>
        </w:rPr>
        <w:t>plánu</w:t>
      </w:r>
    </w:p>
    <w:p w:rsidR="009C7B94" w:rsidRPr="003A0E08" w:rsidRDefault="009C7B94" w:rsidP="00914557">
      <w:pPr>
        <w:rPr>
          <w:b/>
          <w:sz w:val="32"/>
          <w:szCs w:val="32"/>
          <w:lang w:val="cs-CZ"/>
        </w:rPr>
      </w:pPr>
      <w:r w:rsidRPr="003A0E08">
        <w:rPr>
          <w:b/>
          <w:sz w:val="32"/>
          <w:szCs w:val="32"/>
          <w:lang w:val="cs-CZ"/>
        </w:rPr>
        <w:t>Deset kroků k efektivní participaci</w:t>
      </w:r>
      <w:r w:rsidR="00FF2682" w:rsidRPr="003A0E08">
        <w:rPr>
          <w:b/>
          <w:sz w:val="32"/>
          <w:szCs w:val="32"/>
          <w:lang w:val="cs-CZ"/>
        </w:rPr>
        <w:t xml:space="preserve"> občanů na rozhodování</w:t>
      </w:r>
    </w:p>
    <w:p w:rsidR="009C7B94" w:rsidRPr="003A0E08" w:rsidRDefault="009C7B94" w:rsidP="009C7B94">
      <w:pPr>
        <w:pStyle w:val="Odstavecseseznamem"/>
        <w:numPr>
          <w:ilvl w:val="0"/>
          <w:numId w:val="1"/>
        </w:numPr>
        <w:jc w:val="both"/>
        <w:rPr>
          <w:i/>
          <w:u w:val="single"/>
          <w:lang w:val="cs-CZ"/>
        </w:rPr>
      </w:pPr>
      <w:r w:rsidRPr="003A0E08">
        <w:rPr>
          <w:i/>
          <w:u w:val="single"/>
          <w:lang w:val="cs-CZ"/>
        </w:rPr>
        <w:t>Pozastavte práce na Metropolitním plánu do doby zahájení kvalitního procesu zapojení veřejnosti – dát procesu čas (už je skoro pozdě)</w:t>
      </w:r>
    </w:p>
    <w:p w:rsidR="009C7B94" w:rsidRPr="003A0E08" w:rsidRDefault="009C7B94" w:rsidP="009C7B94">
      <w:pPr>
        <w:pStyle w:val="Odstavecseseznamem"/>
        <w:jc w:val="both"/>
        <w:rPr>
          <w:lang w:val="cs-CZ"/>
        </w:rPr>
      </w:pP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 xml:space="preserve">Jestliže se občané dostanou až k připravenému návrhu, který navíc dostanou </w:t>
      </w:r>
      <w:r w:rsidR="0069073D">
        <w:rPr>
          <w:lang w:val="cs-CZ"/>
        </w:rPr>
        <w:t xml:space="preserve">k prostudování a vyjádření </w:t>
      </w:r>
      <w:r w:rsidRPr="003A0E08">
        <w:rPr>
          <w:lang w:val="cs-CZ"/>
        </w:rPr>
        <w:t xml:space="preserve">na </w:t>
      </w:r>
      <w:r w:rsidR="0069073D">
        <w:rPr>
          <w:lang w:val="cs-CZ"/>
        </w:rPr>
        <w:t xml:space="preserve">pouhý </w:t>
      </w:r>
      <w:r w:rsidRPr="003A0E08">
        <w:rPr>
          <w:lang w:val="cs-CZ"/>
        </w:rPr>
        <w:t>jeden měsíc, bude to znamenat konec zapojení veřejnosti. Připomínky občanů opět zůstanou jen hromádkou popsaných papírů. Občané se chtějí do přípravy Metropolitního plánu zapojit dřív, než bude pozdě</w:t>
      </w:r>
      <w:r w:rsidR="0069073D">
        <w:rPr>
          <w:lang w:val="cs-CZ"/>
        </w:rPr>
        <w:t xml:space="preserve">, a </w:t>
      </w:r>
      <w:r w:rsidR="00857334">
        <w:rPr>
          <w:lang w:val="cs-CZ"/>
        </w:rPr>
        <w:t xml:space="preserve">to </w:t>
      </w:r>
      <w:r w:rsidR="0069073D">
        <w:rPr>
          <w:lang w:val="cs-CZ"/>
        </w:rPr>
        <w:t>účinn</w:t>
      </w:r>
      <w:r w:rsidR="00857334">
        <w:rPr>
          <w:lang w:val="cs-CZ"/>
        </w:rPr>
        <w:t>ým způsobem</w:t>
      </w:r>
      <w:r w:rsidR="0069073D">
        <w:rPr>
          <w:lang w:val="cs-CZ"/>
        </w:rPr>
        <w:t xml:space="preserve">. Chtějí mít možnost výslednou podobu plánu ovlivnit svými relevantními návrhy a zkušenostmi a ne </w:t>
      </w:r>
      <w:r w:rsidR="00857334">
        <w:rPr>
          <w:lang w:val="cs-CZ"/>
        </w:rPr>
        <w:t xml:space="preserve">pouze </w:t>
      </w:r>
      <w:r w:rsidR="0069073D">
        <w:rPr>
          <w:lang w:val="cs-CZ"/>
        </w:rPr>
        <w:t>hrát roli komparzu ve hře architektů, developerů a úředníků odvolávajících se na stavební zákon</w:t>
      </w:r>
      <w:r w:rsidRPr="003A0E08">
        <w:rPr>
          <w:lang w:val="cs-CZ"/>
        </w:rPr>
        <w:t>.</w:t>
      </w:r>
    </w:p>
    <w:p w:rsidR="009C7B94" w:rsidRPr="003A0E08" w:rsidRDefault="0069073D" w:rsidP="009C7B94">
      <w:pPr>
        <w:jc w:val="both"/>
        <w:rPr>
          <w:b/>
          <w:lang w:val="cs-CZ"/>
        </w:rPr>
      </w:pPr>
      <w:r>
        <w:rPr>
          <w:b/>
          <w:lang w:val="cs-CZ"/>
        </w:rPr>
        <w:t>Odůvodnění: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>O participaci veřejnosti na přípravě Metropolitního plánu se mělo mluvit již před třemi roky, kdy byl odmítnut koncept předchozí</w:t>
      </w:r>
      <w:r w:rsidR="0069073D">
        <w:rPr>
          <w:lang w:val="cs-CZ"/>
        </w:rPr>
        <w:t xml:space="preserve">ho návrhu nového </w:t>
      </w:r>
      <w:r w:rsidRPr="003A0E08">
        <w:rPr>
          <w:lang w:val="cs-CZ"/>
        </w:rPr>
        <w:t>územního plánu. To se nestalo, příprava Metropolitního plánu se stala vysoce exkluzívní záležitostí úzkého týmu IPR. Občané dostali možnost vyjádřit se k zadání a většina připomínek byla stejně bez valného odůvodnění odmítnuta. Teď se počítá s tím, že se veřejnosti na pár dní předloží první návrh plánu a lidé</w:t>
      </w:r>
      <w:r w:rsidR="00E23CA1">
        <w:rPr>
          <w:lang w:val="cs-CZ"/>
        </w:rPr>
        <w:t xml:space="preserve"> -</w:t>
      </w:r>
      <w:r w:rsidRPr="003A0E08">
        <w:rPr>
          <w:lang w:val="cs-CZ"/>
        </w:rPr>
        <w:t xml:space="preserve"> jako vždy</w:t>
      </w:r>
      <w:r w:rsidR="00E23CA1">
        <w:rPr>
          <w:lang w:val="cs-CZ"/>
        </w:rPr>
        <w:t xml:space="preserve"> -</w:t>
      </w:r>
      <w:r w:rsidRPr="003A0E08">
        <w:rPr>
          <w:lang w:val="cs-CZ"/>
        </w:rPr>
        <w:t xml:space="preserve"> budou po večerech studovat rozsáhlé materiály a sepisovat připomínky k něčemu, co už bude v pokročilé fázi přípravy.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 xml:space="preserve">Navrhujeme proto, aby byly práce na návrhu </w:t>
      </w:r>
      <w:r w:rsidR="00381D4A">
        <w:rPr>
          <w:lang w:val="cs-CZ"/>
        </w:rPr>
        <w:t xml:space="preserve">na čas </w:t>
      </w:r>
      <w:r w:rsidRPr="003A0E08">
        <w:rPr>
          <w:lang w:val="cs-CZ"/>
        </w:rPr>
        <w:t xml:space="preserve">pozastaveny. Žádáme, aby byla nyní dána veřejnosti možnost říci, jak má vypadat místo, kde žijí. Tyto podněty by měli odborníci převzít a zapracovat je do návrhu. Teprve pak je možné, aby byl návrh předložen k oficiálnímu připomínkování podle stavebního zákona. 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>Jsme si vědomi toho, že se jedná z pohledu pořizovatele o překážku. Přesto se domníváme, že předložení Metropolitního plánu veřejnosti ve fázi, kdy jsou ještě otevřeny</w:t>
      </w:r>
      <w:r w:rsidR="00CC19D4">
        <w:rPr>
          <w:lang w:val="cs-CZ"/>
        </w:rPr>
        <w:t xml:space="preserve"> všechny možnosti</w:t>
      </w:r>
      <w:r w:rsidRPr="003A0E08">
        <w:rPr>
          <w:lang w:val="cs-CZ"/>
        </w:rPr>
        <w:t xml:space="preserve">, je více než žádoucí a do budoucna to přinese větší míru ztotožnění se s obsahem plánu. Je to projev dobré správy. </w:t>
      </w:r>
    </w:p>
    <w:p w:rsidR="009C7B94" w:rsidRPr="003A0E08" w:rsidRDefault="009C7B94" w:rsidP="009C7B94">
      <w:pPr>
        <w:pStyle w:val="Odstavecseseznamem"/>
        <w:numPr>
          <w:ilvl w:val="0"/>
          <w:numId w:val="1"/>
        </w:numPr>
        <w:jc w:val="both"/>
        <w:rPr>
          <w:i/>
          <w:u w:val="single"/>
          <w:lang w:val="cs-CZ"/>
        </w:rPr>
      </w:pPr>
      <w:r w:rsidRPr="003A0E08">
        <w:rPr>
          <w:i/>
          <w:u w:val="single"/>
          <w:lang w:val="cs-CZ"/>
        </w:rPr>
        <w:t>Oslovte odborníky na participaci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>Participační procesy nemůže vést laik a odborníkem na participaci není každý, kdo se někdy podílel na tvorbě územního plánu. Je třeba získat tým odborníků, kteří mají dostatek znalostí a zkušeností</w:t>
      </w:r>
      <w:r w:rsidR="00CC19D4">
        <w:rPr>
          <w:lang w:val="cs-CZ"/>
        </w:rPr>
        <w:t xml:space="preserve"> (stejně jako se tým IPR vybavil týmem architektů a urbanistů, protože ani kreslit územní plán nemůže </w:t>
      </w:r>
      <w:r w:rsidR="00CC19D4">
        <w:rPr>
          <w:lang w:val="cs-CZ"/>
        </w:rPr>
        <w:lastRenderedPageBreak/>
        <w:t>kterýkoliv inženýr)</w:t>
      </w:r>
      <w:r w:rsidRPr="003A0E08">
        <w:rPr>
          <w:lang w:val="cs-CZ"/>
        </w:rPr>
        <w:t>. Díky tomu budou schopni připravit takový proces participace, který bude mít očekávané výsledky jak na straně pořizovatele územního plánu, tak na straně občanů.</w:t>
      </w:r>
    </w:p>
    <w:p w:rsidR="0069073D" w:rsidRPr="009B2929" w:rsidRDefault="0069073D" w:rsidP="0069073D">
      <w:pPr>
        <w:jc w:val="both"/>
        <w:rPr>
          <w:b/>
          <w:lang w:val="cs-CZ"/>
        </w:rPr>
      </w:pPr>
      <w:r>
        <w:rPr>
          <w:b/>
          <w:lang w:val="cs-CZ"/>
        </w:rPr>
        <w:t>Odůvodnění: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>Přípravný tým musí především definovat cíle participace a musí sestavit plán práce s veřejností. Je důležité, aby tento tým měl správně nastavené úkoly, které má v určitém časovém horizontu splnit. Příprava Metropolitního plánu není úkolem jednoho člověka. Ani přípra</w:t>
      </w:r>
      <w:r w:rsidR="004866F7" w:rsidRPr="003A0E08">
        <w:rPr>
          <w:lang w:val="cs-CZ"/>
        </w:rPr>
        <w:t xml:space="preserve">va participace nemůže spočívat </w:t>
      </w:r>
      <w:r w:rsidRPr="003A0E08">
        <w:rPr>
          <w:lang w:val="cs-CZ"/>
        </w:rPr>
        <w:t>n</w:t>
      </w:r>
      <w:r w:rsidR="004866F7" w:rsidRPr="003A0E08">
        <w:rPr>
          <w:lang w:val="cs-CZ"/>
        </w:rPr>
        <w:t>a</w:t>
      </w:r>
      <w:r w:rsidRPr="003A0E08">
        <w:rPr>
          <w:lang w:val="cs-CZ"/>
        </w:rPr>
        <w:t xml:space="preserve"> úzké skupince lidí. Je třeba mít tým co nejširší a otevřený. Jeho výstupy musí být srozumitelně komunikovány veřejnosti a zápisy z jeho jednání by měly být vždy zveřejněny.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>Veřejnost v Praze není zvyklá na to, že by ji skutečně někdo ochotně a předem zapojoval do rozhodování. Je možné, že lidé budou ostražití a nebudou mít dostatečnou důvěru a ochotu se zapojit, protože j</w:t>
      </w:r>
      <w:r w:rsidR="00CC19D4">
        <w:rPr>
          <w:lang w:val="cs-CZ"/>
        </w:rPr>
        <w:t>e</w:t>
      </w:r>
      <w:r w:rsidRPr="003A0E08">
        <w:rPr>
          <w:lang w:val="cs-CZ"/>
        </w:rPr>
        <w:t xml:space="preserve"> to </w:t>
      </w:r>
      <w:r w:rsidR="00CC19D4">
        <w:rPr>
          <w:lang w:val="cs-CZ"/>
        </w:rPr>
        <w:t xml:space="preserve">v posledních letech </w:t>
      </w:r>
      <w:r w:rsidRPr="003A0E08">
        <w:rPr>
          <w:lang w:val="cs-CZ"/>
        </w:rPr>
        <w:t>stálo značné úsilí bez jakéhokoli výsledku. Je proto nezbytné, aby se participační tým věnoval s předstihem právě této otázce.</w:t>
      </w:r>
    </w:p>
    <w:p w:rsidR="009C7B94" w:rsidRPr="003A0E08" w:rsidRDefault="009C7B94" w:rsidP="009C7B94">
      <w:pPr>
        <w:jc w:val="both"/>
        <w:rPr>
          <w:lang w:val="cs-CZ"/>
        </w:rPr>
      </w:pPr>
    </w:p>
    <w:p w:rsidR="009C7B94" w:rsidRPr="003A0E08" w:rsidRDefault="009C7B94" w:rsidP="009C7B94">
      <w:pPr>
        <w:pStyle w:val="Odstavecseseznamem"/>
        <w:numPr>
          <w:ilvl w:val="0"/>
          <w:numId w:val="1"/>
        </w:numPr>
        <w:jc w:val="both"/>
        <w:rPr>
          <w:i/>
          <w:u w:val="single"/>
          <w:lang w:val="cs-CZ"/>
        </w:rPr>
      </w:pPr>
      <w:r w:rsidRPr="003A0E08">
        <w:rPr>
          <w:i/>
          <w:u w:val="single"/>
          <w:lang w:val="cs-CZ"/>
        </w:rPr>
        <w:t xml:space="preserve">Definujte cíle a zpracujte reálný plán zapojení veřejnosti 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>Hlavním cílem je připravit kvalitní plán přijatý co nejširším okruhem stakeholderů</w:t>
      </w:r>
      <w:r w:rsidR="00DC7568" w:rsidRPr="003A0E08">
        <w:rPr>
          <w:lang w:val="cs-CZ"/>
        </w:rPr>
        <w:t xml:space="preserve"> (</w:t>
      </w:r>
      <w:r w:rsidR="00A769AC" w:rsidRPr="003A0E08">
        <w:rPr>
          <w:lang w:val="cs-CZ"/>
        </w:rPr>
        <w:t xml:space="preserve">myšleno </w:t>
      </w:r>
      <w:r w:rsidR="00DC7568" w:rsidRPr="003A0E08">
        <w:rPr>
          <w:lang w:val="cs-CZ"/>
        </w:rPr>
        <w:t xml:space="preserve">nejen </w:t>
      </w:r>
      <w:r w:rsidR="00D66202" w:rsidRPr="003A0E08">
        <w:rPr>
          <w:lang w:val="cs-CZ"/>
        </w:rPr>
        <w:t>občan</w:t>
      </w:r>
      <w:r w:rsidR="00D66202">
        <w:rPr>
          <w:lang w:val="cs-CZ"/>
        </w:rPr>
        <w:t>y</w:t>
      </w:r>
      <w:r w:rsidR="007745FE">
        <w:rPr>
          <w:lang w:val="cs-CZ"/>
        </w:rPr>
        <w:t xml:space="preserve"> </w:t>
      </w:r>
      <w:r w:rsidR="00D66202">
        <w:rPr>
          <w:lang w:val="cs-CZ"/>
        </w:rPr>
        <w:t>P</w:t>
      </w:r>
      <w:r w:rsidR="00D66202" w:rsidRPr="003A0E08">
        <w:rPr>
          <w:lang w:val="cs-CZ"/>
        </w:rPr>
        <w:t>rahy</w:t>
      </w:r>
      <w:r w:rsidR="00DC7568" w:rsidRPr="003A0E08">
        <w:rPr>
          <w:lang w:val="cs-CZ"/>
        </w:rPr>
        <w:t>, ale i dalším</w:t>
      </w:r>
      <w:r w:rsidR="00D66202">
        <w:rPr>
          <w:lang w:val="cs-CZ"/>
        </w:rPr>
        <w:t>i</w:t>
      </w:r>
      <w:r w:rsidR="00D33FD2">
        <w:rPr>
          <w:lang w:val="cs-CZ"/>
        </w:rPr>
        <w:t xml:space="preserve"> </w:t>
      </w:r>
      <w:r w:rsidR="00D66202" w:rsidRPr="003A0E08">
        <w:rPr>
          <w:lang w:val="cs-CZ"/>
        </w:rPr>
        <w:t>subjekt</w:t>
      </w:r>
      <w:r w:rsidR="00D66202">
        <w:rPr>
          <w:lang w:val="cs-CZ"/>
        </w:rPr>
        <w:t>y</w:t>
      </w:r>
      <w:r w:rsidR="00DC7568" w:rsidRPr="003A0E08">
        <w:rPr>
          <w:lang w:val="cs-CZ"/>
        </w:rPr>
        <w:t xml:space="preserve">, </w:t>
      </w:r>
      <w:r w:rsidR="00D66202" w:rsidRPr="003A0E08">
        <w:rPr>
          <w:lang w:val="cs-CZ"/>
        </w:rPr>
        <w:t>kte</w:t>
      </w:r>
      <w:r w:rsidR="00D66202">
        <w:rPr>
          <w:lang w:val="cs-CZ"/>
        </w:rPr>
        <w:t>ré</w:t>
      </w:r>
      <w:r w:rsidR="00D33FD2">
        <w:rPr>
          <w:lang w:val="cs-CZ"/>
        </w:rPr>
        <w:t xml:space="preserve"> </w:t>
      </w:r>
      <w:r w:rsidR="00DC7568" w:rsidRPr="003A0E08">
        <w:rPr>
          <w:lang w:val="cs-CZ"/>
        </w:rPr>
        <w:t>mají na územním plánování zájem)</w:t>
      </w:r>
      <w:r w:rsidRPr="003A0E08">
        <w:rPr>
          <w:lang w:val="cs-CZ"/>
        </w:rPr>
        <w:t>. Ztotožnění se s přijatými řešeními snižuje napětí a potřebu řešit nesouhlas s obsahem územního plánu skrze žaloby</w:t>
      </w:r>
      <w:r w:rsidR="00D66202">
        <w:rPr>
          <w:lang w:val="cs-CZ"/>
        </w:rPr>
        <w:t>. K</w:t>
      </w:r>
      <w:r w:rsidR="00103828" w:rsidRPr="003A0E08">
        <w:rPr>
          <w:lang w:val="cs-CZ"/>
        </w:rPr>
        <w:t xml:space="preserve">valitní územní plán </w:t>
      </w:r>
      <w:r w:rsidR="00D66202">
        <w:rPr>
          <w:lang w:val="cs-CZ"/>
        </w:rPr>
        <w:t xml:space="preserve">připravený za účasti všech, jichž se týká, </w:t>
      </w:r>
      <w:r w:rsidR="00103828" w:rsidRPr="003A0E08">
        <w:rPr>
          <w:lang w:val="cs-CZ"/>
        </w:rPr>
        <w:t xml:space="preserve">také </w:t>
      </w:r>
      <w:r w:rsidR="00D66202">
        <w:rPr>
          <w:lang w:val="cs-CZ"/>
        </w:rPr>
        <w:t>přinese</w:t>
      </w:r>
      <w:r w:rsidR="00103828" w:rsidRPr="003A0E08">
        <w:rPr>
          <w:lang w:val="cs-CZ"/>
        </w:rPr>
        <w:t xml:space="preserve"> stabilitu v rozhodování o území</w:t>
      </w:r>
      <w:r w:rsidRPr="003A0E08">
        <w:rPr>
          <w:lang w:val="cs-CZ"/>
        </w:rPr>
        <w:t>. Participace občanů nemůže být procesem nahodilým, jinak může přinést více škod než užitku. Participace musí mít jasný rámec.</w:t>
      </w:r>
    </w:p>
    <w:p w:rsidR="0069073D" w:rsidRPr="009B2929" w:rsidRDefault="0069073D" w:rsidP="0069073D">
      <w:pPr>
        <w:jc w:val="both"/>
        <w:rPr>
          <w:b/>
          <w:lang w:val="cs-CZ"/>
        </w:rPr>
      </w:pPr>
      <w:r>
        <w:rPr>
          <w:b/>
          <w:lang w:val="cs-CZ"/>
        </w:rPr>
        <w:t>Odůvodnění: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>Každá participace občanů, která má přinést očekávaný výsledek, musí mít předem definované cíle. Tomu je zapotřebí věnovat dostatek času.  Kvalitní územní plán je samozřejmě velice obecným cílem.</w:t>
      </w:r>
      <w:r w:rsidR="00E50946" w:rsidRPr="003A0E08">
        <w:rPr>
          <w:lang w:val="cs-CZ"/>
        </w:rPr>
        <w:t xml:space="preserve"> Proto </w:t>
      </w:r>
      <w:r w:rsidRPr="003A0E08">
        <w:rPr>
          <w:lang w:val="cs-CZ"/>
        </w:rPr>
        <w:t xml:space="preserve">by měly být stanoveny dílčí cíle pro časové úseky, ve kterých participace probíhá a pro jednotlivé metody, kterých bude v rámci participace použito. Je pravděpodobné, že </w:t>
      </w:r>
      <w:r w:rsidR="000A13D5">
        <w:rPr>
          <w:lang w:val="cs-CZ"/>
        </w:rPr>
        <w:t xml:space="preserve">část </w:t>
      </w:r>
      <w:r w:rsidRPr="003A0E08">
        <w:rPr>
          <w:lang w:val="cs-CZ"/>
        </w:rPr>
        <w:t>občanů bud</w:t>
      </w:r>
      <w:r w:rsidR="000A13D5">
        <w:rPr>
          <w:lang w:val="cs-CZ"/>
        </w:rPr>
        <w:t>e</w:t>
      </w:r>
      <w:r w:rsidRPr="003A0E08">
        <w:rPr>
          <w:lang w:val="cs-CZ"/>
        </w:rPr>
        <w:t xml:space="preserve"> mít jiné cíle, než pořizovatel územního plánu a že bud</w:t>
      </w:r>
      <w:r w:rsidR="000A13D5">
        <w:rPr>
          <w:lang w:val="cs-CZ"/>
        </w:rPr>
        <w:t>e</w:t>
      </w:r>
      <w:r w:rsidRPr="003A0E08">
        <w:rPr>
          <w:lang w:val="cs-CZ"/>
        </w:rPr>
        <w:t xml:space="preserve"> mít o výsledku participace jiné představy. Proto je vhodné, aby se na definování cílů podílela širší skupina, pokud možno </w:t>
      </w:r>
      <w:r w:rsidR="00D66202">
        <w:rPr>
          <w:lang w:val="cs-CZ"/>
        </w:rPr>
        <w:t xml:space="preserve">zahrnující </w:t>
      </w:r>
      <w:r w:rsidRPr="003A0E08">
        <w:rPr>
          <w:lang w:val="cs-CZ"/>
        </w:rPr>
        <w:t xml:space="preserve">i </w:t>
      </w:r>
      <w:r w:rsidR="00D66202" w:rsidRPr="003A0E08">
        <w:rPr>
          <w:lang w:val="cs-CZ"/>
        </w:rPr>
        <w:t>zástupc</w:t>
      </w:r>
      <w:r w:rsidR="00D66202">
        <w:rPr>
          <w:lang w:val="cs-CZ"/>
        </w:rPr>
        <w:t>e</w:t>
      </w:r>
      <w:r w:rsidR="007745FE">
        <w:rPr>
          <w:lang w:val="cs-CZ"/>
        </w:rPr>
        <w:t xml:space="preserve"> </w:t>
      </w:r>
      <w:r w:rsidRPr="003A0E08">
        <w:rPr>
          <w:lang w:val="cs-CZ"/>
        </w:rPr>
        <w:t>stakeholderů.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 xml:space="preserve">Úkolem participačního týmu bude i sestavit harmonogram participačního procesu. Ten by měl být zveřejněn a průběžně by se mělo spolu se stakeholdery kontrolovat, zda jsou jeho jednotlivé body řádně naplňovány. U územního plánování je samozřejmě tento harmonogram ovlivněn minimálními zákonnými požadavky na zapojení veřejnosti – </w:t>
      </w:r>
      <w:r w:rsidR="00D66202" w:rsidRPr="009B2929">
        <w:rPr>
          <w:lang w:val="cs-CZ"/>
        </w:rPr>
        <w:t>kupř. nelze opomenout</w:t>
      </w:r>
      <w:r w:rsidR="002815A2">
        <w:rPr>
          <w:lang w:val="cs-CZ"/>
        </w:rPr>
        <w:t xml:space="preserve"> </w:t>
      </w:r>
      <w:r w:rsidRPr="003A0E08">
        <w:rPr>
          <w:lang w:val="cs-CZ"/>
        </w:rPr>
        <w:t xml:space="preserve">veřejné projednání. </w:t>
      </w:r>
    </w:p>
    <w:p w:rsidR="003D1350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 xml:space="preserve">V rámci přípravy harmonogramu je třeba dbát na to, aby se klíčové aktivity neodehrávaly o prázdninách nebo </w:t>
      </w:r>
      <w:r w:rsidR="000A13D5">
        <w:rPr>
          <w:lang w:val="cs-CZ"/>
        </w:rPr>
        <w:t>v období</w:t>
      </w:r>
      <w:r w:rsidR="000A13D5" w:rsidRPr="003A0E08">
        <w:rPr>
          <w:lang w:val="cs-CZ"/>
        </w:rPr>
        <w:t xml:space="preserve"> </w:t>
      </w:r>
      <w:r w:rsidRPr="003A0E08">
        <w:rPr>
          <w:lang w:val="cs-CZ"/>
        </w:rPr>
        <w:t xml:space="preserve">Vánoc, což </w:t>
      </w:r>
      <w:r w:rsidR="00E23CA1" w:rsidRPr="003A0E08">
        <w:rPr>
          <w:lang w:val="cs-CZ"/>
        </w:rPr>
        <w:t xml:space="preserve">je </w:t>
      </w:r>
      <w:r w:rsidR="00E23CA1">
        <w:rPr>
          <w:lang w:val="cs-CZ"/>
        </w:rPr>
        <w:t>pravidelný</w:t>
      </w:r>
      <w:r w:rsidR="00D66202">
        <w:rPr>
          <w:lang w:val="cs-CZ"/>
        </w:rPr>
        <w:t xml:space="preserve"> každoroční evergreen</w:t>
      </w:r>
      <w:r w:rsidRPr="003A0E08">
        <w:rPr>
          <w:lang w:val="cs-CZ"/>
        </w:rPr>
        <w:t xml:space="preserve"> územního plánování v Praze. </w:t>
      </w:r>
    </w:p>
    <w:p w:rsidR="003D1350" w:rsidRDefault="003D1350">
      <w:pPr>
        <w:rPr>
          <w:lang w:val="cs-CZ"/>
        </w:rPr>
      </w:pPr>
      <w:r>
        <w:rPr>
          <w:lang w:val="cs-CZ"/>
        </w:rPr>
        <w:br w:type="page"/>
      </w:r>
    </w:p>
    <w:p w:rsidR="009C7B94" w:rsidRPr="003A0E08" w:rsidRDefault="009C7B94" w:rsidP="009C7B94">
      <w:pPr>
        <w:jc w:val="both"/>
        <w:rPr>
          <w:lang w:val="cs-CZ"/>
        </w:rPr>
      </w:pPr>
    </w:p>
    <w:p w:rsidR="009C7B94" w:rsidRPr="003A0E08" w:rsidRDefault="009C7B94" w:rsidP="009C7B94">
      <w:pPr>
        <w:pStyle w:val="Odstavecseseznamem"/>
        <w:jc w:val="both"/>
        <w:rPr>
          <w:lang w:val="cs-CZ"/>
        </w:rPr>
      </w:pPr>
    </w:p>
    <w:p w:rsidR="009C7B94" w:rsidRPr="003A0E08" w:rsidRDefault="009C7B94" w:rsidP="009C7B94">
      <w:pPr>
        <w:pStyle w:val="Odstavecseseznamem"/>
        <w:numPr>
          <w:ilvl w:val="0"/>
          <w:numId w:val="1"/>
        </w:numPr>
        <w:jc w:val="both"/>
        <w:rPr>
          <w:i/>
          <w:u w:val="single"/>
          <w:lang w:val="cs-CZ"/>
        </w:rPr>
      </w:pPr>
      <w:r w:rsidRPr="003A0E08">
        <w:rPr>
          <w:i/>
          <w:u w:val="single"/>
          <w:lang w:val="cs-CZ"/>
        </w:rPr>
        <w:t xml:space="preserve">Vytipujte cílové skupiny 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 xml:space="preserve">Územní plán je určen prakticky každému, ačkoli </w:t>
      </w:r>
      <w:r w:rsidR="000A13D5">
        <w:rPr>
          <w:lang w:val="cs-CZ"/>
        </w:rPr>
        <w:t xml:space="preserve">si toho řada občanů není vědoma. </w:t>
      </w:r>
      <w:r w:rsidRPr="003A0E08">
        <w:rPr>
          <w:lang w:val="cs-CZ"/>
        </w:rPr>
        <w:t>Cílovou skupinou nejsou jen investoři a vlastníci nemovitostí. Do územního plánování by měl být zahrnut co nejširší okruh subjektů.</w:t>
      </w:r>
    </w:p>
    <w:p w:rsidR="0069073D" w:rsidRPr="009B2929" w:rsidRDefault="0069073D" w:rsidP="0069073D">
      <w:pPr>
        <w:jc w:val="both"/>
        <w:rPr>
          <w:b/>
          <w:lang w:val="cs-CZ"/>
        </w:rPr>
      </w:pPr>
      <w:r>
        <w:rPr>
          <w:b/>
          <w:lang w:val="cs-CZ"/>
        </w:rPr>
        <w:t>Odůvodnění: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 xml:space="preserve">Na kvalitním územním plánu má zájem řada subjektů – developeři, nejrůznější podnikatelé </w:t>
      </w:r>
      <w:r w:rsidR="00D66202">
        <w:rPr>
          <w:lang w:val="cs-CZ"/>
        </w:rPr>
        <w:t>(</w:t>
      </w:r>
      <w:r w:rsidRPr="003A0E08">
        <w:rPr>
          <w:lang w:val="cs-CZ"/>
        </w:rPr>
        <w:t xml:space="preserve">nejen ve stavebnictví), </w:t>
      </w:r>
      <w:r w:rsidR="00D66202">
        <w:rPr>
          <w:lang w:val="cs-CZ"/>
        </w:rPr>
        <w:t xml:space="preserve">občanské </w:t>
      </w:r>
      <w:r w:rsidRPr="003A0E08">
        <w:rPr>
          <w:lang w:val="cs-CZ"/>
        </w:rPr>
        <w:t xml:space="preserve">spolky, lidé se zdravotním postižením, rodiče malých dětí, senioři, mladí lidé, cyklisté, automobilisté a </w:t>
      </w:r>
      <w:r w:rsidR="00D66202">
        <w:rPr>
          <w:lang w:val="cs-CZ"/>
        </w:rPr>
        <w:t>desítky dalších skupin</w:t>
      </w:r>
      <w:r w:rsidRPr="003A0E08">
        <w:rPr>
          <w:lang w:val="cs-CZ"/>
        </w:rPr>
        <w:t xml:space="preserve">. </w:t>
      </w:r>
    </w:p>
    <w:p w:rsidR="009C7B94" w:rsidRPr="003A0E08" w:rsidRDefault="00D66202" w:rsidP="009C7B94">
      <w:pPr>
        <w:jc w:val="both"/>
        <w:rPr>
          <w:lang w:val="cs-CZ"/>
        </w:rPr>
      </w:pPr>
      <w:r>
        <w:rPr>
          <w:lang w:val="cs-CZ"/>
        </w:rPr>
        <w:t>Občanské s</w:t>
      </w:r>
      <w:r w:rsidRPr="003A0E08">
        <w:rPr>
          <w:lang w:val="cs-CZ"/>
        </w:rPr>
        <w:t xml:space="preserve">polky </w:t>
      </w:r>
      <w:r w:rsidR="009C7B94" w:rsidRPr="003A0E08">
        <w:rPr>
          <w:lang w:val="cs-CZ"/>
        </w:rPr>
        <w:t xml:space="preserve">jsou pro Prahu mimořádně důležitými subjekty. V každé městské části jich působí několik, ve velkých pak i několik desítek. Sdružují ty nejaktivnější občany, zajímají se o svoje okolí řadu let a zapojují se do územních i jiných řízení. Mají kontakty a jsou schopny výrazně napomoci k aktivizaci ostatních obyvatel. Je však zapotřebí, aby byly osloveny jako partneři a aby s nimi bylo právě takto zacházeno. </w:t>
      </w:r>
    </w:p>
    <w:p w:rsidR="009C7B94" w:rsidRPr="003A0E08" w:rsidRDefault="009C7B94" w:rsidP="009C7B94">
      <w:pPr>
        <w:jc w:val="both"/>
        <w:rPr>
          <w:lang w:val="cs-CZ"/>
        </w:rPr>
      </w:pPr>
    </w:p>
    <w:p w:rsidR="009C7B94" w:rsidRPr="003A0E08" w:rsidRDefault="009C7B94" w:rsidP="009C7B94">
      <w:pPr>
        <w:pStyle w:val="Odstavecseseznamem"/>
        <w:numPr>
          <w:ilvl w:val="0"/>
          <w:numId w:val="1"/>
        </w:numPr>
        <w:jc w:val="both"/>
        <w:rPr>
          <w:i/>
          <w:u w:val="single"/>
          <w:lang w:val="cs-CZ"/>
        </w:rPr>
      </w:pPr>
      <w:r w:rsidRPr="003A0E08">
        <w:rPr>
          <w:i/>
          <w:u w:val="single"/>
          <w:lang w:val="cs-CZ"/>
        </w:rPr>
        <w:t>Vyberte vhodného facilitátora a žádejte respekt k veřejnosti ze strany architekta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>Pokud má mít participace úspěch, musí ji vést</w:t>
      </w:r>
      <w:r w:rsidR="0098160C" w:rsidRPr="003A0E08">
        <w:rPr>
          <w:lang w:val="cs-CZ"/>
        </w:rPr>
        <w:t xml:space="preserve"> schopní facilitátoři. Kromě toho je zapotřebí, aby participaci </w:t>
      </w:r>
      <w:r w:rsidR="000A13D5">
        <w:rPr>
          <w:lang w:val="cs-CZ"/>
        </w:rPr>
        <w:t xml:space="preserve">a zapojené občany </w:t>
      </w:r>
      <w:r w:rsidR="0098160C" w:rsidRPr="003A0E08">
        <w:rPr>
          <w:lang w:val="cs-CZ"/>
        </w:rPr>
        <w:t>respektoval i projektant územního plánu.</w:t>
      </w:r>
    </w:p>
    <w:p w:rsidR="0069073D" w:rsidRPr="009B2929" w:rsidRDefault="0069073D" w:rsidP="0069073D">
      <w:pPr>
        <w:jc w:val="both"/>
        <w:rPr>
          <w:b/>
          <w:lang w:val="cs-CZ"/>
        </w:rPr>
      </w:pPr>
      <w:r>
        <w:rPr>
          <w:b/>
          <w:lang w:val="cs-CZ"/>
        </w:rPr>
        <w:t>Odůvodnění:</w:t>
      </w:r>
    </w:p>
    <w:p w:rsidR="0098160C" w:rsidRPr="003A0E08" w:rsidRDefault="0098160C" w:rsidP="0098160C">
      <w:pPr>
        <w:jc w:val="both"/>
        <w:rPr>
          <w:lang w:val="cs-CZ"/>
        </w:rPr>
      </w:pPr>
      <w:r w:rsidRPr="003A0E08">
        <w:rPr>
          <w:lang w:val="cs-CZ"/>
        </w:rPr>
        <w:t>Rolí facilitátora je mírnit konflikty, vyhledávat potenciálně problematické body, motivovat zúčastněné k vyjádření názoru a být schopen předložené návrhy nehodnotit a dát stejný prostor všem cílovým skupinám.</w:t>
      </w:r>
    </w:p>
    <w:p w:rsidR="009C7B94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 xml:space="preserve">Výsledky participace jsou odvislé jednak od toho, jaké informace se podaří od občanů získat a dále od toho, jak s nimi projektant naloží. Jestliže by vstupní data byla obsáhlá a kvalitní, ale projektant by je odložil, protože nejsou „odborná“, půjde o naprosté selhání participačního procesu. </w:t>
      </w:r>
      <w:r w:rsidR="0098160C" w:rsidRPr="003A0E08">
        <w:rPr>
          <w:lang w:val="cs-CZ"/>
        </w:rPr>
        <w:t>Je nezbytné</w:t>
      </w:r>
      <w:r w:rsidR="00B25831">
        <w:rPr>
          <w:lang w:val="cs-CZ"/>
        </w:rPr>
        <w:t xml:space="preserve"> dosáhnout stavu, kdy </w:t>
      </w:r>
      <w:r w:rsidR="0098160C" w:rsidRPr="003A0E08">
        <w:rPr>
          <w:lang w:val="cs-CZ"/>
        </w:rPr>
        <w:t xml:space="preserve">ti, kdo připravují plán z odborného hlediska, participaci věří a občany považují za partnery, ne jen za </w:t>
      </w:r>
      <w:r w:rsidR="0098160C" w:rsidRPr="00A55634">
        <w:rPr>
          <w:lang w:val="cs-CZ"/>
        </w:rPr>
        <w:t>konzumenty</w:t>
      </w:r>
      <w:r w:rsidR="00B25831" w:rsidRPr="00A55634">
        <w:rPr>
          <w:lang w:val="cs-CZ"/>
        </w:rPr>
        <w:t xml:space="preserve"> nebo dokonce</w:t>
      </w:r>
      <w:r w:rsidR="00A55634">
        <w:rPr>
          <w:lang w:val="cs-CZ"/>
        </w:rPr>
        <w:t xml:space="preserve"> za kverulanty</w:t>
      </w:r>
      <w:r w:rsidR="009A08C6" w:rsidRPr="00A55634">
        <w:rPr>
          <w:lang w:val="cs-CZ"/>
        </w:rPr>
        <w:t>.</w:t>
      </w:r>
      <w:r w:rsidR="009A08C6" w:rsidRPr="009A08C6">
        <w:rPr>
          <w:lang w:val="cs-CZ"/>
        </w:rPr>
        <w:t xml:space="preserve"> Projektant také musí mít ochotu naslouchat jiným názorům a zvažovat jiné než své vlastní varianty řešení.</w:t>
      </w:r>
    </w:p>
    <w:p w:rsidR="003D1350" w:rsidRPr="00B75220" w:rsidRDefault="003D1350" w:rsidP="009C7B94">
      <w:pPr>
        <w:jc w:val="both"/>
        <w:rPr>
          <w:lang w:val="cs-CZ"/>
        </w:rPr>
      </w:pPr>
    </w:p>
    <w:p w:rsidR="009C7B94" w:rsidRPr="00B75220" w:rsidRDefault="009A08C6" w:rsidP="009C7B94">
      <w:pPr>
        <w:pStyle w:val="Odstavecseseznamem"/>
        <w:numPr>
          <w:ilvl w:val="0"/>
          <w:numId w:val="1"/>
        </w:numPr>
        <w:jc w:val="both"/>
        <w:rPr>
          <w:i/>
          <w:u w:val="single"/>
          <w:lang w:val="cs-CZ"/>
        </w:rPr>
      </w:pPr>
      <w:r w:rsidRPr="009A08C6">
        <w:rPr>
          <w:i/>
          <w:u w:val="single"/>
          <w:lang w:val="cs-CZ"/>
        </w:rPr>
        <w:t xml:space="preserve">Poskytujte všechny potřebné informace včas </w:t>
      </w:r>
    </w:p>
    <w:p w:rsidR="009C7B94" w:rsidRPr="003A0E08" w:rsidRDefault="009A08C6" w:rsidP="009C7B94">
      <w:pPr>
        <w:jc w:val="both"/>
        <w:rPr>
          <w:lang w:val="cs-CZ"/>
        </w:rPr>
      </w:pPr>
      <w:r w:rsidRPr="009A08C6">
        <w:rPr>
          <w:lang w:val="cs-CZ"/>
        </w:rPr>
        <w:t xml:space="preserve">Stavební zákon ani jiné </w:t>
      </w:r>
      <w:r w:rsidR="00B25831">
        <w:rPr>
          <w:lang w:val="cs-CZ"/>
        </w:rPr>
        <w:t xml:space="preserve">právní </w:t>
      </w:r>
      <w:r w:rsidR="009C7B94" w:rsidRPr="003A0E08">
        <w:rPr>
          <w:lang w:val="cs-CZ"/>
        </w:rPr>
        <w:t>předpisy nezakazují komunikovat s veřejností otevřeně a předkládat jí co nejvíce materiálů a podkladů. Zatajování informací posiluje nedůvěru občanů</w:t>
      </w:r>
      <w:r w:rsidR="00B25831">
        <w:rPr>
          <w:lang w:val="cs-CZ"/>
        </w:rPr>
        <w:t xml:space="preserve"> vůči magistrátu – úředníkům, politikům a nakonec i odborníkům</w:t>
      </w:r>
      <w:r w:rsidR="009C7B94" w:rsidRPr="003A0E08">
        <w:rPr>
          <w:lang w:val="cs-CZ"/>
        </w:rPr>
        <w:t>. Zveřejňo</w:t>
      </w:r>
      <w:r w:rsidR="000A13D5">
        <w:rPr>
          <w:lang w:val="cs-CZ"/>
        </w:rPr>
        <w:t>vání</w:t>
      </w:r>
      <w:r w:rsidR="009C7B94" w:rsidRPr="003A0E08">
        <w:rPr>
          <w:lang w:val="cs-CZ"/>
        </w:rPr>
        <w:t xml:space="preserve"> vešker</w:t>
      </w:r>
      <w:r w:rsidR="000A13D5">
        <w:rPr>
          <w:lang w:val="cs-CZ"/>
        </w:rPr>
        <w:t>ých</w:t>
      </w:r>
      <w:r w:rsidR="009C7B94" w:rsidRPr="003A0E08">
        <w:rPr>
          <w:lang w:val="cs-CZ"/>
        </w:rPr>
        <w:t xml:space="preserve"> </w:t>
      </w:r>
      <w:r w:rsidR="00B25831">
        <w:rPr>
          <w:lang w:val="cs-CZ"/>
        </w:rPr>
        <w:t>existující</w:t>
      </w:r>
      <w:r w:rsidR="000A13D5">
        <w:rPr>
          <w:lang w:val="cs-CZ"/>
        </w:rPr>
        <w:t>ch</w:t>
      </w:r>
      <w:r w:rsidR="002815A2">
        <w:rPr>
          <w:lang w:val="cs-CZ"/>
        </w:rPr>
        <w:t xml:space="preserve"> </w:t>
      </w:r>
      <w:r w:rsidR="009C7B94" w:rsidRPr="003A0E08">
        <w:rPr>
          <w:lang w:val="cs-CZ"/>
        </w:rPr>
        <w:t>dokument</w:t>
      </w:r>
      <w:r w:rsidR="000A13D5">
        <w:rPr>
          <w:lang w:val="cs-CZ"/>
        </w:rPr>
        <w:t>ů</w:t>
      </w:r>
      <w:r w:rsidR="009C7B94" w:rsidRPr="003A0E08">
        <w:rPr>
          <w:lang w:val="cs-CZ"/>
        </w:rPr>
        <w:t xml:space="preserve"> je proto nezbytnou součástí otevřené participace.</w:t>
      </w:r>
    </w:p>
    <w:p w:rsidR="0069073D" w:rsidRPr="009B2929" w:rsidRDefault="0069073D" w:rsidP="0069073D">
      <w:pPr>
        <w:jc w:val="both"/>
        <w:rPr>
          <w:b/>
          <w:lang w:val="cs-CZ"/>
        </w:rPr>
      </w:pPr>
      <w:r>
        <w:rPr>
          <w:b/>
          <w:lang w:val="cs-CZ"/>
        </w:rPr>
        <w:lastRenderedPageBreak/>
        <w:t>Odůvodnění: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>Veřejnost se dosud mohla seznámit jen s mimořádně úsporně formulovaným zadáním a pak s graficky zdatně vyvedenými texty Duch Metropolitního plánu a Koncept odůvodnění. Tyto dokumenty jsou však spíše proklamacemi nebo idejemi</w:t>
      </w:r>
      <w:r w:rsidR="00B25831">
        <w:rPr>
          <w:lang w:val="cs-CZ"/>
        </w:rPr>
        <w:t>. Z</w:t>
      </w:r>
      <w:r w:rsidRPr="003A0E08">
        <w:rPr>
          <w:lang w:val="cs-CZ"/>
        </w:rPr>
        <w:t xml:space="preserve">jistit </w:t>
      </w:r>
      <w:r w:rsidR="00B25831">
        <w:rPr>
          <w:lang w:val="cs-CZ"/>
        </w:rPr>
        <w:t xml:space="preserve">cokoliv </w:t>
      </w:r>
      <w:r w:rsidRPr="003A0E08">
        <w:rPr>
          <w:lang w:val="cs-CZ"/>
        </w:rPr>
        <w:t xml:space="preserve">konkrétního se z nich </w:t>
      </w:r>
      <w:r w:rsidR="00B25831">
        <w:rPr>
          <w:lang w:val="cs-CZ"/>
        </w:rPr>
        <w:t xml:space="preserve">prakticky </w:t>
      </w:r>
      <w:r w:rsidRPr="003A0E08">
        <w:rPr>
          <w:lang w:val="cs-CZ"/>
        </w:rPr>
        <w:t xml:space="preserve">nedá. Občanům nemohou podobné texty absolutně dostačovat. </w:t>
      </w:r>
      <w:r w:rsidR="00B25831">
        <w:rPr>
          <w:lang w:val="cs-CZ"/>
        </w:rPr>
        <w:t>V</w:t>
      </w:r>
      <w:r w:rsidRPr="003A0E08">
        <w:rPr>
          <w:lang w:val="cs-CZ"/>
        </w:rPr>
        <w:t>ize</w:t>
      </w:r>
      <w:r w:rsidR="00B25831">
        <w:rPr>
          <w:lang w:val="cs-CZ"/>
        </w:rPr>
        <w:t xml:space="preserve"> jsou důležité, avšak v předložené podobě neumožňují učinit </w:t>
      </w:r>
      <w:r w:rsidR="000A13D5">
        <w:rPr>
          <w:lang w:val="cs-CZ"/>
        </w:rPr>
        <w:t xml:space="preserve">si </w:t>
      </w:r>
      <w:r w:rsidR="00B25831">
        <w:rPr>
          <w:lang w:val="cs-CZ"/>
        </w:rPr>
        <w:t xml:space="preserve">jasnější představu o tom, jak budou řešena jednotlivá území města. 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>Proto je mimořádně významné, aby byly zveřejňovány dokumenty i ve stavu rozpracovanosti, nebo jen částečně ve vztahu ke konkrétním městským částem a lokalitám. Pokud magistrát tvrdí, že mu v tom brání autorská práva, lze to považovat jen za jeho vlastní pochybení – toto mělo být s projektantem řádně ošetřeno ve smlouvách. Je tedy věcí magistrátu, aby toto svoje selhání napravil. Připomínáme, že se jedná o dokumenty, které byly pořízeny čistě z veřejných prostředků</w:t>
      </w:r>
      <w:r w:rsidR="00B25831">
        <w:rPr>
          <w:lang w:val="cs-CZ"/>
        </w:rPr>
        <w:t>;</w:t>
      </w:r>
      <w:r w:rsidRPr="003A0E08">
        <w:rPr>
          <w:lang w:val="cs-CZ"/>
        </w:rPr>
        <w:t xml:space="preserve"> jejich zadržování je v rozporu se základními požadavky na svobodný přístup k informacím.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 xml:space="preserve">Ostatně samo Ministerstvo pro místní rozvoj </w:t>
      </w:r>
      <w:r w:rsidR="00B25831">
        <w:rPr>
          <w:lang w:val="cs-CZ"/>
        </w:rPr>
        <w:t xml:space="preserve">ČR </w:t>
      </w:r>
      <w:r w:rsidRPr="003A0E08">
        <w:rPr>
          <w:lang w:val="cs-CZ"/>
        </w:rPr>
        <w:t xml:space="preserve">na přímý dotaz potvrdilo, že včasná participace a včasné zveřejnění podkladů </w:t>
      </w:r>
      <w:r w:rsidR="009A19A9">
        <w:rPr>
          <w:lang w:val="cs-CZ"/>
        </w:rPr>
        <w:t xml:space="preserve">jsou v procesu přípravy pražského územního plánu </w:t>
      </w:r>
      <w:r w:rsidRPr="003A0E08">
        <w:rPr>
          <w:lang w:val="cs-CZ"/>
        </w:rPr>
        <w:t>žádoucí.</w:t>
      </w:r>
      <w:r w:rsidR="00D33FD2">
        <w:rPr>
          <w:lang w:val="cs-CZ"/>
        </w:rPr>
        <w:t xml:space="preserve"> Konkrétně Ministerstvo považuje za žádoucí, aby v rámci zpracování návrhu územního plánu probíhaly pracovní konzultace, které by zajišťovaly provázanost výkonu územně plánovací činnosti úřadu územního plánování (pořizovatele) a zpracování územně plánovací dokumentace projektantem s názory veřejnosti a městských částí. Tyto konzultace jsou nezávazným podkladem pro práci projektanta a jsou bez jakýchkoli problémů možné</w:t>
      </w:r>
      <w:r w:rsidR="006D2FAE">
        <w:rPr>
          <w:lang w:val="cs-CZ"/>
        </w:rPr>
        <w:t xml:space="preserve"> i nad rozpracovaným územním plánem. </w:t>
      </w:r>
      <w:r w:rsidR="00642012">
        <w:rPr>
          <w:lang w:val="cs-CZ"/>
        </w:rPr>
        <w:t>(Dopis MMR z 10. 6. 2015 adresovaný IPR).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>Kromě vlastního návrhu Metropolitního plánu je nezbytně nutné zveřejnit metodiku, na základě které se připravuje. Dále je podstatně, aby byly zveřejněny i ty dokumenty, ze kterých se při přípravě Metropolitního plánu vychází. Všechny materiály, kterých je při přípravě Metropolitního plánu použito, musí být zveřejněny přehledně a na jednom místě.</w:t>
      </w:r>
      <w:r w:rsidR="007616BD">
        <w:rPr>
          <w:lang w:val="cs-CZ"/>
        </w:rPr>
        <w:t xml:space="preserve"> K metodice se </w:t>
      </w:r>
      <w:r w:rsidR="001D4EA2">
        <w:rPr>
          <w:lang w:val="cs-CZ"/>
        </w:rPr>
        <w:t xml:space="preserve">ostatně </w:t>
      </w:r>
      <w:r w:rsidR="007616BD">
        <w:rPr>
          <w:lang w:val="cs-CZ"/>
        </w:rPr>
        <w:t xml:space="preserve">vyjadřovala i Česká komora architektů, na kterou se obrátil sám </w:t>
      </w:r>
      <w:r w:rsidR="001D4EA2">
        <w:rPr>
          <w:lang w:val="cs-CZ"/>
        </w:rPr>
        <w:t>m</w:t>
      </w:r>
      <w:r w:rsidR="007616BD">
        <w:rPr>
          <w:lang w:val="cs-CZ"/>
        </w:rPr>
        <w:t>agistrát. Z tohoto vyjádření je patrno, že zveřejnění metodiky v zásadě možné je a je chybou magistrátu, že tuto otázku včas neošetřil smluvně. T</w:t>
      </w:r>
      <w:r w:rsidR="00D51AD4">
        <w:rPr>
          <w:lang w:val="cs-CZ"/>
        </w:rPr>
        <w:t>ento nedostatek</w:t>
      </w:r>
      <w:r w:rsidR="007616BD">
        <w:rPr>
          <w:lang w:val="cs-CZ"/>
        </w:rPr>
        <w:t xml:space="preserve"> je zapotřebí neprodleně napravit a metodiku zveřejnit.</w:t>
      </w:r>
    </w:p>
    <w:p w:rsidR="009C7B94" w:rsidRPr="003A0E08" w:rsidRDefault="009C7B94" w:rsidP="009C7B94">
      <w:pPr>
        <w:ind w:left="360"/>
        <w:jc w:val="both"/>
        <w:rPr>
          <w:lang w:val="cs-CZ"/>
        </w:rPr>
      </w:pPr>
      <w:r w:rsidRPr="003A0E08">
        <w:rPr>
          <w:lang w:val="cs-CZ"/>
        </w:rPr>
        <w:tab/>
      </w:r>
    </w:p>
    <w:p w:rsidR="009C7B94" w:rsidRPr="003A0E08" w:rsidRDefault="009C7B94" w:rsidP="009C7B94">
      <w:pPr>
        <w:pStyle w:val="Odstavecseseznamem"/>
        <w:numPr>
          <w:ilvl w:val="0"/>
          <w:numId w:val="1"/>
        </w:numPr>
        <w:jc w:val="both"/>
        <w:rPr>
          <w:i/>
          <w:u w:val="single"/>
          <w:lang w:val="cs-CZ"/>
        </w:rPr>
      </w:pPr>
      <w:r w:rsidRPr="003A0E08">
        <w:rPr>
          <w:i/>
          <w:u w:val="single"/>
          <w:lang w:val="cs-CZ"/>
        </w:rPr>
        <w:t xml:space="preserve">Ptejte se místních, rozumí tomu 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 xml:space="preserve">Lidé, kteří v místě žijí, podnikatelé, kteří zde pracují, nebo ti, kdo do konkrétní ulice jezdí každý den do zaměstnání, mají mimořádně rozsáhlé informace o konkrétní oblasti a o možnostech jejího využití. V procesu územního plánování musí být respektováni jako partneři. </w:t>
      </w:r>
    </w:p>
    <w:p w:rsidR="0069073D" w:rsidRPr="009B2929" w:rsidRDefault="0069073D" w:rsidP="0069073D">
      <w:pPr>
        <w:jc w:val="both"/>
        <w:rPr>
          <w:b/>
          <w:lang w:val="cs-CZ"/>
        </w:rPr>
      </w:pPr>
      <w:r>
        <w:rPr>
          <w:b/>
          <w:lang w:val="cs-CZ"/>
        </w:rPr>
        <w:t>Odůvodnění: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 xml:space="preserve">V každé ulici hlavního města žijí </w:t>
      </w:r>
      <w:r w:rsidR="009A19A9">
        <w:rPr>
          <w:lang w:val="cs-CZ"/>
        </w:rPr>
        <w:t xml:space="preserve">desítky či </w:t>
      </w:r>
      <w:r w:rsidRPr="003A0E08">
        <w:rPr>
          <w:lang w:val="cs-CZ"/>
        </w:rPr>
        <w:t xml:space="preserve">stovky lidí, kteří ji znají mnohdy po desetiletí. Mnozí z nich mají </w:t>
      </w:r>
      <w:r w:rsidR="009A19A9">
        <w:rPr>
          <w:lang w:val="cs-CZ"/>
        </w:rPr>
        <w:t xml:space="preserve">také </w:t>
      </w:r>
      <w:r w:rsidRPr="003A0E08">
        <w:rPr>
          <w:lang w:val="cs-CZ"/>
        </w:rPr>
        <w:t xml:space="preserve">odborné znalosti a jsou schopni je využít, když </w:t>
      </w:r>
      <w:r w:rsidR="009A19A9">
        <w:rPr>
          <w:lang w:val="cs-CZ"/>
        </w:rPr>
        <w:t>dostanou</w:t>
      </w:r>
      <w:r w:rsidR="002815A2">
        <w:rPr>
          <w:lang w:val="cs-CZ"/>
        </w:rPr>
        <w:t xml:space="preserve"> </w:t>
      </w:r>
      <w:r w:rsidRPr="003A0E08">
        <w:rPr>
          <w:lang w:val="cs-CZ"/>
        </w:rPr>
        <w:t xml:space="preserve">příležitost. Občané </w:t>
      </w:r>
      <w:r w:rsidR="009A19A9">
        <w:rPr>
          <w:lang w:val="cs-CZ"/>
        </w:rPr>
        <w:t>P</w:t>
      </w:r>
      <w:r w:rsidR="009A19A9" w:rsidRPr="003A0E08">
        <w:rPr>
          <w:lang w:val="cs-CZ"/>
        </w:rPr>
        <w:t xml:space="preserve">rahy </w:t>
      </w:r>
      <w:r w:rsidRPr="003A0E08">
        <w:rPr>
          <w:lang w:val="cs-CZ"/>
        </w:rPr>
        <w:t xml:space="preserve">jsou mimořádně aktivní a mají zájem podílet se na rozhodování o svém městě. To se projevuje velkou mírou účasti na zasedáních zastupitelů, počtem fungujících spolků nebo zájmem o pořizování změn </w:t>
      </w:r>
      <w:r w:rsidRPr="003A0E08">
        <w:rPr>
          <w:lang w:val="cs-CZ"/>
        </w:rPr>
        <w:lastRenderedPageBreak/>
        <w:t>územního plánu. Mimořádným výsledkem byl kupř. počet připomínek ke konceptu dřívější</w:t>
      </w:r>
      <w:r w:rsidR="009A19A9">
        <w:rPr>
          <w:lang w:val="cs-CZ"/>
        </w:rPr>
        <w:t xml:space="preserve"> verze nového </w:t>
      </w:r>
      <w:r w:rsidRPr="003A0E08">
        <w:rPr>
          <w:lang w:val="cs-CZ"/>
        </w:rPr>
        <w:t xml:space="preserve">územního plánu, který přesáhl </w:t>
      </w:r>
      <w:r w:rsidR="009A19A9" w:rsidRPr="003D1350">
        <w:rPr>
          <w:lang w:val="cs-CZ"/>
        </w:rPr>
        <w:t>34</w:t>
      </w:r>
      <w:r w:rsidRPr="003D1350">
        <w:rPr>
          <w:lang w:val="cs-CZ"/>
        </w:rPr>
        <w:t>. 000.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>Je povinností veřejné správy zajímat se o názor svých občanů. Územní plánování samozřejmě nemůže zohlednit všechny požadavky a některý zájem musí ustoupit jinému. Je však třeba, aby se tak stalo až poté, co názory mohly včas zaznít</w:t>
      </w:r>
      <w:r w:rsidR="009A19A9">
        <w:rPr>
          <w:lang w:val="cs-CZ"/>
        </w:rPr>
        <w:t>,</w:t>
      </w:r>
      <w:r w:rsidRPr="003A0E08">
        <w:rPr>
          <w:lang w:val="cs-CZ"/>
        </w:rPr>
        <w:t xml:space="preserve"> kdy </w:t>
      </w:r>
      <w:r w:rsidR="009A19A9">
        <w:rPr>
          <w:lang w:val="cs-CZ"/>
        </w:rPr>
        <w:t xml:space="preserve">město </w:t>
      </w:r>
      <w:r w:rsidRPr="003A0E08">
        <w:rPr>
          <w:lang w:val="cs-CZ"/>
        </w:rPr>
        <w:t>skutečně projevilo o své občany zájem</w:t>
      </w:r>
      <w:r w:rsidR="009A19A9">
        <w:rPr>
          <w:lang w:val="cs-CZ"/>
        </w:rPr>
        <w:t xml:space="preserve"> a</w:t>
      </w:r>
      <w:r w:rsidRPr="003A0E08">
        <w:rPr>
          <w:lang w:val="cs-CZ"/>
        </w:rPr>
        <w:t xml:space="preserve"> respektovalo jejich potřeby</w:t>
      </w:r>
      <w:r w:rsidR="009A19A9">
        <w:rPr>
          <w:lang w:val="cs-CZ"/>
        </w:rPr>
        <w:t>. Řešení by mělo vzejít z demokratické diskuse a být výsledkem konsenzu nebo kompromisu nejvýhodnějšího pro město jako celek</w:t>
      </w:r>
      <w:r w:rsidRPr="003A0E08">
        <w:rPr>
          <w:lang w:val="cs-CZ"/>
        </w:rPr>
        <w:t xml:space="preserve">. 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>Připomínáme, že místní jsou také mnohdy těmi, kdo hájí v procesu tvorby územního plánu veřejný zájem. Na jeho ochranu se prozatím téměř nemyslelo.</w:t>
      </w:r>
    </w:p>
    <w:p w:rsidR="009C7B94" w:rsidRPr="003A0E08" w:rsidRDefault="009C7B94" w:rsidP="009C7B94">
      <w:pPr>
        <w:pStyle w:val="Odstavecseseznamem"/>
        <w:numPr>
          <w:ilvl w:val="0"/>
          <w:numId w:val="1"/>
        </w:numPr>
        <w:jc w:val="both"/>
        <w:rPr>
          <w:i/>
          <w:u w:val="single"/>
          <w:lang w:val="cs-CZ"/>
        </w:rPr>
      </w:pPr>
      <w:r w:rsidRPr="003A0E08">
        <w:rPr>
          <w:i/>
          <w:u w:val="single"/>
          <w:lang w:val="cs-CZ"/>
        </w:rPr>
        <w:t>Pracujte otevřeně s městskými částmi – zástupci samospráv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 xml:space="preserve">Městské části mají zájem zapojit se do rozhodování o svém území. Mají právo znát včas všechny podklady, které jsou připravovány. </w:t>
      </w:r>
      <w:r w:rsidR="009A19A9">
        <w:rPr>
          <w:lang w:val="cs-CZ"/>
        </w:rPr>
        <w:t>N</w:t>
      </w:r>
      <w:r w:rsidRPr="003A0E08">
        <w:rPr>
          <w:lang w:val="cs-CZ"/>
        </w:rPr>
        <w:t>a podobu Metropolitního plánu</w:t>
      </w:r>
      <w:r w:rsidR="009A19A9">
        <w:rPr>
          <w:lang w:val="cs-CZ"/>
        </w:rPr>
        <w:t xml:space="preserve"> by měly mít větší vliv, než tomu bylo doposud</w:t>
      </w:r>
      <w:r w:rsidRPr="003A0E08">
        <w:rPr>
          <w:lang w:val="cs-CZ"/>
        </w:rPr>
        <w:t>.</w:t>
      </w:r>
    </w:p>
    <w:p w:rsidR="0069073D" w:rsidRPr="009B2929" w:rsidRDefault="0069073D" w:rsidP="0069073D">
      <w:pPr>
        <w:jc w:val="both"/>
        <w:rPr>
          <w:b/>
          <w:lang w:val="cs-CZ"/>
        </w:rPr>
      </w:pPr>
      <w:r>
        <w:rPr>
          <w:b/>
          <w:lang w:val="cs-CZ"/>
        </w:rPr>
        <w:t>Odůvodnění: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 xml:space="preserve">Většina </w:t>
      </w:r>
      <w:r w:rsidR="00225004">
        <w:rPr>
          <w:lang w:val="cs-CZ"/>
        </w:rPr>
        <w:t>m</w:t>
      </w:r>
      <w:r w:rsidRPr="003A0E08">
        <w:rPr>
          <w:lang w:val="cs-CZ"/>
        </w:rPr>
        <w:t>ěstských částí se účastnila procesu přípravy zadání Metropolitního plánu. Nadále probíhají setkávání městských částí a úředníků magistrátu, kteří jsou za územní plánování zodpovědní. Je však zřejmé, že městské části mají častokrát pocit, že nejsou skutečnými partnery v jednání o podobě územního plánu</w:t>
      </w:r>
      <w:r w:rsidR="00225004">
        <w:rPr>
          <w:lang w:val="cs-CZ"/>
        </w:rPr>
        <w:t>. Lze to</w:t>
      </w:r>
      <w:r w:rsidRPr="003A0E08">
        <w:rPr>
          <w:lang w:val="cs-CZ"/>
        </w:rPr>
        <w:t xml:space="preserve"> snadno odvodit z jejich připomínek. S městskými částmi jsou sice vedeny konzultace, přesto však připomínky k návrhu zadání byly vypořádány velmi stručně</w:t>
      </w:r>
      <w:r w:rsidR="00225004">
        <w:rPr>
          <w:lang w:val="cs-CZ"/>
        </w:rPr>
        <w:t xml:space="preserve"> a mnohé relevantní požadavky jsou namísto věcného vypořádání přehlíženy, zpochybňovány nebo bagatelizovány</w:t>
      </w:r>
      <w:r w:rsidRPr="003A0E08">
        <w:rPr>
          <w:lang w:val="cs-CZ"/>
        </w:rPr>
        <w:t xml:space="preserve">. 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 xml:space="preserve">Magistrát by měl městským částem automaticky předkládat veškeré materiály, které má k dispozici, a to i ty rozpracované. To mu ostatně doporučilo i </w:t>
      </w:r>
      <w:r w:rsidR="00DD6FB1">
        <w:rPr>
          <w:lang w:val="cs-CZ"/>
        </w:rPr>
        <w:t>M</w:t>
      </w:r>
      <w:r w:rsidRPr="003A0E08">
        <w:rPr>
          <w:lang w:val="cs-CZ"/>
        </w:rPr>
        <w:t>inisterstvo pro místní rozvoj</w:t>
      </w:r>
      <w:r w:rsidR="00DD6FB1">
        <w:rPr>
          <w:lang w:val="cs-CZ"/>
        </w:rPr>
        <w:t xml:space="preserve"> ČR</w:t>
      </w:r>
      <w:r w:rsidRPr="003A0E08">
        <w:rPr>
          <w:lang w:val="cs-CZ"/>
        </w:rPr>
        <w:t xml:space="preserve">. Požadavky městských částí k Metropolitnímu plánu by měly být zohledněny, a pokud se tak nestane, mělo by být jasně zdůvodněno proč. 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>Městské části by měl</w:t>
      </w:r>
      <w:r w:rsidR="00DD6FB1">
        <w:rPr>
          <w:lang w:val="cs-CZ"/>
        </w:rPr>
        <w:t>y</w:t>
      </w:r>
      <w:r w:rsidRPr="003A0E08">
        <w:rPr>
          <w:lang w:val="cs-CZ"/>
        </w:rPr>
        <w:t xml:space="preserve"> v procesu participace fungovat i </w:t>
      </w:r>
      <w:r w:rsidR="00225004">
        <w:rPr>
          <w:lang w:val="cs-CZ"/>
        </w:rPr>
        <w:t>opačným</w:t>
      </w:r>
      <w:r w:rsidR="002815A2">
        <w:rPr>
          <w:lang w:val="cs-CZ"/>
        </w:rPr>
        <w:t xml:space="preserve"> </w:t>
      </w:r>
      <w:r w:rsidRPr="003A0E08">
        <w:rPr>
          <w:lang w:val="cs-CZ"/>
        </w:rPr>
        <w:t>směrem – být aktivním hybatelem, vyzvat občany k zapojení se, informovat je a příp</w:t>
      </w:r>
      <w:r w:rsidR="00225004">
        <w:rPr>
          <w:lang w:val="cs-CZ"/>
        </w:rPr>
        <w:t>adně</w:t>
      </w:r>
      <w:r w:rsidRPr="003A0E08">
        <w:rPr>
          <w:lang w:val="cs-CZ"/>
        </w:rPr>
        <w:t xml:space="preserve"> vystupovat jako zprostředkovatelé</w:t>
      </w:r>
      <w:r w:rsidR="00225004">
        <w:rPr>
          <w:lang w:val="cs-CZ"/>
        </w:rPr>
        <w:t xml:space="preserve"> informací mezi místními komunitami a magistrátem</w:t>
      </w:r>
      <w:r w:rsidRPr="003A0E08">
        <w:rPr>
          <w:lang w:val="cs-CZ"/>
        </w:rPr>
        <w:t xml:space="preserve">. V těchto aspektech by měli být zástupci městských částí proškoleni. </w:t>
      </w:r>
    </w:p>
    <w:p w:rsidR="009C7B94" w:rsidRPr="003A0E08" w:rsidRDefault="009C7B94" w:rsidP="009C7B94">
      <w:pPr>
        <w:pStyle w:val="Odstavecseseznamem"/>
        <w:jc w:val="both"/>
        <w:rPr>
          <w:i/>
          <w:u w:val="single"/>
          <w:lang w:val="cs-CZ"/>
        </w:rPr>
      </w:pPr>
    </w:p>
    <w:p w:rsidR="009C7B94" w:rsidRPr="003A0E08" w:rsidRDefault="009C7B94" w:rsidP="009C7B94">
      <w:pPr>
        <w:pStyle w:val="Odstavecseseznamem"/>
        <w:numPr>
          <w:ilvl w:val="0"/>
          <w:numId w:val="1"/>
        </w:numPr>
        <w:jc w:val="both"/>
        <w:rPr>
          <w:i/>
          <w:u w:val="single"/>
          <w:lang w:val="cs-CZ"/>
        </w:rPr>
      </w:pPr>
      <w:r w:rsidRPr="003A0E08">
        <w:rPr>
          <w:i/>
          <w:u w:val="single"/>
          <w:lang w:val="cs-CZ"/>
        </w:rPr>
        <w:t xml:space="preserve">Konec zavřeným dveřím: Doplňte tým </w:t>
      </w:r>
      <w:r w:rsidR="00225004">
        <w:rPr>
          <w:i/>
          <w:u w:val="single"/>
          <w:lang w:val="cs-CZ"/>
        </w:rPr>
        <w:t>M</w:t>
      </w:r>
      <w:r w:rsidR="00225004" w:rsidRPr="003A0E08">
        <w:rPr>
          <w:i/>
          <w:u w:val="single"/>
          <w:lang w:val="cs-CZ"/>
        </w:rPr>
        <w:t xml:space="preserve">etropolitního </w:t>
      </w:r>
      <w:r w:rsidRPr="003A0E08">
        <w:rPr>
          <w:i/>
          <w:u w:val="single"/>
          <w:lang w:val="cs-CZ"/>
        </w:rPr>
        <w:t xml:space="preserve">plánu a </w:t>
      </w:r>
      <w:r w:rsidR="00225004">
        <w:rPr>
          <w:i/>
          <w:u w:val="single"/>
          <w:lang w:val="cs-CZ"/>
        </w:rPr>
        <w:t>zveřejňujte</w:t>
      </w:r>
      <w:r w:rsidR="00687111">
        <w:rPr>
          <w:i/>
          <w:u w:val="single"/>
          <w:lang w:val="cs-CZ"/>
        </w:rPr>
        <w:t xml:space="preserve"> </w:t>
      </w:r>
      <w:r w:rsidRPr="003A0E08">
        <w:rPr>
          <w:i/>
          <w:u w:val="single"/>
          <w:lang w:val="cs-CZ"/>
        </w:rPr>
        <w:t>jeho výstupy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 xml:space="preserve">Metropolitní plán v současnosti vzniká v malé skupince odborníků, kteří jsou si navzájem názorově velmi blízcí. </w:t>
      </w:r>
      <w:r w:rsidR="00225004">
        <w:rPr>
          <w:lang w:val="cs-CZ"/>
        </w:rPr>
        <w:t xml:space="preserve">Koneckonců, jsou v něm pouze architekti, tedy představitelé jediného oboru, což je samo o sobě zarážející. </w:t>
      </w:r>
      <w:r w:rsidRPr="003A0E08">
        <w:rPr>
          <w:lang w:val="cs-CZ"/>
        </w:rPr>
        <w:t xml:space="preserve">Takový postup není přípustný. Metropolitní plán musí vznikat na široké platformě. </w:t>
      </w:r>
    </w:p>
    <w:p w:rsidR="0069073D" w:rsidRPr="009B2929" w:rsidRDefault="0069073D" w:rsidP="0069073D">
      <w:pPr>
        <w:jc w:val="both"/>
        <w:rPr>
          <w:b/>
          <w:lang w:val="cs-CZ"/>
        </w:rPr>
      </w:pPr>
      <w:r>
        <w:rPr>
          <w:b/>
          <w:lang w:val="cs-CZ"/>
        </w:rPr>
        <w:t>Odůvodnění:</w:t>
      </w:r>
    </w:p>
    <w:p w:rsidR="009C7B94" w:rsidRDefault="00687111" w:rsidP="009C7B94">
      <w:pPr>
        <w:jc w:val="both"/>
        <w:rPr>
          <w:lang w:val="cs-CZ"/>
        </w:rPr>
      </w:pPr>
      <w:r w:rsidRPr="006B1C8B">
        <w:rPr>
          <w:sz w:val="24"/>
          <w:szCs w:val="24"/>
          <w:lang w:val="cs-CZ"/>
        </w:rPr>
        <w:lastRenderedPageBreak/>
        <w:t xml:space="preserve">Opět ve shodě s Ministerstvem pro místní rozvoj </w:t>
      </w:r>
      <w:r w:rsidR="00DD6FB1">
        <w:rPr>
          <w:sz w:val="24"/>
          <w:szCs w:val="24"/>
          <w:lang w:val="cs-CZ"/>
        </w:rPr>
        <w:t xml:space="preserve">ČR </w:t>
      </w:r>
      <w:r w:rsidRPr="006B1C8B">
        <w:rPr>
          <w:sz w:val="24"/>
          <w:szCs w:val="24"/>
          <w:lang w:val="cs-CZ"/>
        </w:rPr>
        <w:t>upozorňujeme, že Metropolitní plán není jen urbanistickým řešením Prahy. Naopak</w:t>
      </w:r>
      <w:r w:rsidR="00DD6FB1">
        <w:rPr>
          <w:sz w:val="24"/>
          <w:szCs w:val="24"/>
          <w:lang w:val="cs-CZ"/>
        </w:rPr>
        <w:t>,</w:t>
      </w:r>
      <w:r w:rsidRPr="006B1C8B">
        <w:rPr>
          <w:sz w:val="24"/>
          <w:szCs w:val="24"/>
          <w:lang w:val="cs-CZ"/>
        </w:rPr>
        <w:t xml:space="preserve"> musí podle stavebního zákona řešit i otázky sociální a otázky životního prostředí. Tento úhel pohledu je dnes zcela opomíjen. Je proto zapotřebí rozšířit </w:t>
      </w:r>
      <w:r w:rsidRPr="006B1C8B">
        <w:rPr>
          <w:lang w:val="cs-CZ"/>
        </w:rPr>
        <w:t>t</w:t>
      </w:r>
      <w:r w:rsidR="009C7B94" w:rsidRPr="006B1C8B">
        <w:rPr>
          <w:lang w:val="cs-CZ"/>
        </w:rPr>
        <w:t>ým</w:t>
      </w:r>
      <w:r w:rsidR="009C7B94" w:rsidRPr="003A0E08">
        <w:rPr>
          <w:lang w:val="cs-CZ"/>
        </w:rPr>
        <w:t>, který v současnosti pr</w:t>
      </w:r>
      <w:r>
        <w:rPr>
          <w:lang w:val="cs-CZ"/>
        </w:rPr>
        <w:t>acuje na Metropolitním plánu</w:t>
      </w:r>
      <w:r w:rsidR="009C7B94" w:rsidRPr="003A0E08">
        <w:rPr>
          <w:lang w:val="cs-CZ"/>
        </w:rPr>
        <w:t>. Měl by být rozšířen o řadu externistů – odborníků z</w:t>
      </w:r>
      <w:r>
        <w:rPr>
          <w:lang w:val="cs-CZ"/>
        </w:rPr>
        <w:t> </w:t>
      </w:r>
      <w:r w:rsidR="00225004">
        <w:rPr>
          <w:lang w:val="cs-CZ"/>
        </w:rPr>
        <w:t>jiných</w:t>
      </w:r>
      <w:r>
        <w:rPr>
          <w:lang w:val="cs-CZ"/>
        </w:rPr>
        <w:t xml:space="preserve"> </w:t>
      </w:r>
      <w:r w:rsidR="009C7B94" w:rsidRPr="003A0E08">
        <w:rPr>
          <w:lang w:val="cs-CZ"/>
        </w:rPr>
        <w:t xml:space="preserve">oblastí </w:t>
      </w:r>
      <w:r w:rsidR="00225004">
        <w:rPr>
          <w:lang w:val="cs-CZ"/>
        </w:rPr>
        <w:t xml:space="preserve">než je pouze architektura či urbanismus </w:t>
      </w:r>
      <w:r w:rsidR="009C7B94" w:rsidRPr="003A0E08">
        <w:rPr>
          <w:lang w:val="cs-CZ"/>
        </w:rPr>
        <w:t xml:space="preserve">– sociology, demografy, právníky, ekology a jiné. Navíc by v něm měli zasednout i architekti a </w:t>
      </w:r>
      <w:r w:rsidR="00225004" w:rsidRPr="003A0E08">
        <w:rPr>
          <w:lang w:val="cs-CZ"/>
        </w:rPr>
        <w:t>urbanist</w:t>
      </w:r>
      <w:r w:rsidR="00225004">
        <w:rPr>
          <w:lang w:val="cs-CZ"/>
        </w:rPr>
        <w:t>é</w:t>
      </w:r>
      <w:r>
        <w:rPr>
          <w:lang w:val="cs-CZ"/>
        </w:rPr>
        <w:t xml:space="preserve"> </w:t>
      </w:r>
      <w:r w:rsidR="00225004">
        <w:rPr>
          <w:lang w:val="cs-CZ"/>
        </w:rPr>
        <w:t xml:space="preserve">pohybující se </w:t>
      </w:r>
      <w:r w:rsidR="009C7B94" w:rsidRPr="003A0E08">
        <w:rPr>
          <w:lang w:val="cs-CZ"/>
        </w:rPr>
        <w:t>mimo IPR, kteří mají na řešení problematiky jiný názor</w:t>
      </w:r>
      <w:r w:rsidR="00225004">
        <w:rPr>
          <w:lang w:val="cs-CZ"/>
        </w:rPr>
        <w:t xml:space="preserve"> (mimo jiné proto, že nejsou existenčně závislí na magistrátu)</w:t>
      </w:r>
      <w:r w:rsidR="009C7B94" w:rsidRPr="003A0E08">
        <w:rPr>
          <w:lang w:val="cs-CZ"/>
        </w:rPr>
        <w:t xml:space="preserve">. </w:t>
      </w:r>
      <w:r w:rsidR="00225004">
        <w:rPr>
          <w:lang w:val="cs-CZ"/>
        </w:rPr>
        <w:t>O</w:t>
      </w:r>
      <w:r w:rsidR="009C7B94" w:rsidRPr="003A0E08">
        <w:rPr>
          <w:lang w:val="cs-CZ"/>
        </w:rPr>
        <w:t xml:space="preserve">poziční argumenty musí zaznívat </w:t>
      </w:r>
      <w:r w:rsidR="00225004">
        <w:rPr>
          <w:lang w:val="cs-CZ"/>
        </w:rPr>
        <w:t xml:space="preserve">nahlas </w:t>
      </w:r>
      <w:r w:rsidR="009C7B94" w:rsidRPr="003A0E08">
        <w:rPr>
          <w:lang w:val="cs-CZ"/>
        </w:rPr>
        <w:t xml:space="preserve">a je třeba se s nimi řádně vypořádat. </w:t>
      </w:r>
    </w:p>
    <w:p w:rsidR="003D1350" w:rsidRPr="003A0E08" w:rsidRDefault="003D1350" w:rsidP="009C7B94">
      <w:pPr>
        <w:jc w:val="both"/>
        <w:rPr>
          <w:lang w:val="cs-CZ"/>
        </w:rPr>
      </w:pPr>
    </w:p>
    <w:p w:rsidR="009C7B94" w:rsidRPr="003A0E08" w:rsidRDefault="009C7B94" w:rsidP="009C7B94">
      <w:pPr>
        <w:pStyle w:val="Odstavecseseznamem"/>
        <w:numPr>
          <w:ilvl w:val="0"/>
          <w:numId w:val="1"/>
        </w:numPr>
        <w:jc w:val="both"/>
        <w:rPr>
          <w:i/>
          <w:u w:val="single"/>
          <w:lang w:val="cs-CZ"/>
        </w:rPr>
      </w:pPr>
      <w:r w:rsidRPr="003A0E08">
        <w:rPr>
          <w:i/>
          <w:u w:val="single"/>
          <w:lang w:val="cs-CZ"/>
        </w:rPr>
        <w:t>Nespoléhejte jen na veřejné projednání – nové metody participace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 xml:space="preserve">V územním plánování lze využít desítky moderních technik participace. S jejich výběrem musí pomoci zkušený odborník na zapojování veřejnosti. </w:t>
      </w:r>
      <w:r w:rsidR="00225004">
        <w:rPr>
          <w:lang w:val="cs-CZ"/>
        </w:rPr>
        <w:t>Povinné minimum stanovené stavebním zákonem neodpovídá situaci moderní milionové metropole.</w:t>
      </w:r>
    </w:p>
    <w:p w:rsidR="0069073D" w:rsidRPr="009B2929" w:rsidRDefault="0069073D" w:rsidP="0069073D">
      <w:pPr>
        <w:jc w:val="both"/>
        <w:rPr>
          <w:b/>
          <w:lang w:val="cs-CZ"/>
        </w:rPr>
      </w:pPr>
      <w:r>
        <w:rPr>
          <w:b/>
          <w:lang w:val="cs-CZ"/>
        </w:rPr>
        <w:t>Odůvodnění: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 xml:space="preserve">Jednotlivé použité metody se liší podle toho, jaké cílové skupiny mají být osloveny a jaká data mají být získána. </w:t>
      </w:r>
      <w:r w:rsidR="00225004">
        <w:rPr>
          <w:lang w:val="cs-CZ"/>
        </w:rPr>
        <w:t>Oficiální v</w:t>
      </w:r>
      <w:r w:rsidRPr="003A0E08">
        <w:rPr>
          <w:lang w:val="cs-CZ"/>
        </w:rPr>
        <w:t>eřejné projednání</w:t>
      </w:r>
      <w:r w:rsidR="00225004">
        <w:rPr>
          <w:lang w:val="cs-CZ"/>
        </w:rPr>
        <w:t>,</w:t>
      </w:r>
      <w:r w:rsidR="002815A2">
        <w:rPr>
          <w:lang w:val="cs-CZ"/>
        </w:rPr>
        <w:t xml:space="preserve"> </w:t>
      </w:r>
      <w:r w:rsidR="00225004">
        <w:rPr>
          <w:lang w:val="cs-CZ"/>
        </w:rPr>
        <w:t xml:space="preserve">stanovené jako minimální povinné opatření stavebním zákonem, </w:t>
      </w:r>
      <w:r w:rsidRPr="003A0E08">
        <w:rPr>
          <w:lang w:val="cs-CZ"/>
        </w:rPr>
        <w:t xml:space="preserve">je </w:t>
      </w:r>
      <w:r w:rsidR="00327F67">
        <w:rPr>
          <w:lang w:val="cs-CZ"/>
        </w:rPr>
        <w:t xml:space="preserve">nedostatečně </w:t>
      </w:r>
      <w:r w:rsidRPr="003A0E08">
        <w:rPr>
          <w:lang w:val="cs-CZ"/>
        </w:rPr>
        <w:t>účinným způsobem zapojení veřejnosti</w:t>
      </w:r>
      <w:r w:rsidR="00225004">
        <w:rPr>
          <w:lang w:val="cs-CZ"/>
        </w:rPr>
        <w:t>. To platí z</w:t>
      </w:r>
      <w:r w:rsidRPr="003A0E08">
        <w:rPr>
          <w:lang w:val="cs-CZ"/>
        </w:rPr>
        <w:t>ejm</w:t>
      </w:r>
      <w:r w:rsidR="00225004">
        <w:rPr>
          <w:lang w:val="cs-CZ"/>
        </w:rPr>
        <w:t xml:space="preserve">éna </w:t>
      </w:r>
      <w:r w:rsidRPr="003A0E08">
        <w:rPr>
          <w:lang w:val="cs-CZ"/>
        </w:rPr>
        <w:t xml:space="preserve">tehdy, pokud </w:t>
      </w:r>
      <w:r w:rsidR="009E79FD">
        <w:rPr>
          <w:lang w:val="cs-CZ"/>
        </w:rPr>
        <w:t xml:space="preserve">projednání </w:t>
      </w:r>
      <w:r w:rsidRPr="003A0E08">
        <w:rPr>
          <w:lang w:val="cs-CZ"/>
        </w:rPr>
        <w:t>probíhá tak, jak je v </w:t>
      </w:r>
      <w:r w:rsidR="009E79FD">
        <w:rPr>
          <w:lang w:val="cs-CZ"/>
        </w:rPr>
        <w:t>Praze</w:t>
      </w:r>
      <w:r w:rsidRPr="003A0E08">
        <w:rPr>
          <w:lang w:val="cs-CZ"/>
        </w:rPr>
        <w:t xml:space="preserve"> zvykem – rozsáhlá prezentace orgánů veřejné správy, spojená s detailními informacemi o vyhodnocení vlivů na udržitelný rozvoj</w:t>
      </w:r>
      <w:r w:rsidR="009E79FD">
        <w:rPr>
          <w:lang w:val="cs-CZ"/>
        </w:rPr>
        <w:t xml:space="preserve">, zabere několik hodin času, </w:t>
      </w:r>
      <w:r w:rsidRPr="003A0E08">
        <w:rPr>
          <w:lang w:val="cs-CZ"/>
        </w:rPr>
        <w:t>a teprve po</w:t>
      </w:r>
      <w:r w:rsidR="009E79FD">
        <w:rPr>
          <w:lang w:val="cs-CZ"/>
        </w:rPr>
        <w:t xml:space="preserve">té </w:t>
      </w:r>
      <w:r w:rsidRPr="003A0E08">
        <w:rPr>
          <w:lang w:val="cs-CZ"/>
        </w:rPr>
        <w:t xml:space="preserve">je veřejnosti umožněno vznášet dotazy, většinou s časovým limitem. </w:t>
      </w:r>
    </w:p>
    <w:p w:rsidR="009C7B94" w:rsidRPr="003A0E08" w:rsidRDefault="009C7B94" w:rsidP="009C7B94">
      <w:pPr>
        <w:jc w:val="both"/>
        <w:rPr>
          <w:lang w:val="cs-CZ"/>
        </w:rPr>
      </w:pPr>
      <w:r w:rsidRPr="003A0E08">
        <w:rPr>
          <w:lang w:val="cs-CZ"/>
        </w:rPr>
        <w:t xml:space="preserve">Úkolem </w:t>
      </w:r>
      <w:r w:rsidR="009E79FD">
        <w:rPr>
          <w:lang w:val="cs-CZ"/>
        </w:rPr>
        <w:t>participativních</w:t>
      </w:r>
      <w:r w:rsidR="006B1C8B">
        <w:rPr>
          <w:lang w:val="cs-CZ"/>
        </w:rPr>
        <w:t xml:space="preserve"> </w:t>
      </w:r>
      <w:r w:rsidRPr="003A0E08">
        <w:rPr>
          <w:lang w:val="cs-CZ"/>
        </w:rPr>
        <w:t>metod je zjednodušit složitý proces územního plánování a přiblížit jej více občanům. Díky tomu se může do rozhodování zapojit mnohem větší počet subjektů. Samotný návrh územního plánu a jeho vyhodnocení, které mnohdy čítají několik stovek stran</w:t>
      </w:r>
      <w:r w:rsidR="009E79FD">
        <w:rPr>
          <w:lang w:val="cs-CZ"/>
        </w:rPr>
        <w:t>,</w:t>
      </w:r>
      <w:r w:rsidRPr="003A0E08">
        <w:rPr>
          <w:lang w:val="cs-CZ"/>
        </w:rPr>
        <w:t xml:space="preserve"> jsou příliš technickými materiály, ve kterých se běžnému občanovi mimořádně obtížně orientuje. Proto je třeba, aby jednotlivé výstupy byly transparentně zjednodušeny a efektivně komunikovány všem cílovým skupinám. </w:t>
      </w:r>
    </w:p>
    <w:p w:rsidR="009C7B94" w:rsidRPr="003A0E08" w:rsidRDefault="009C7B94" w:rsidP="00FC720C">
      <w:pPr>
        <w:spacing w:line="360" w:lineRule="auto"/>
        <w:jc w:val="both"/>
        <w:rPr>
          <w:lang w:val="cs-CZ"/>
        </w:rPr>
      </w:pPr>
    </w:p>
    <w:sectPr w:rsidR="009C7B94" w:rsidRPr="003A0E08" w:rsidSect="002D781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779" w:rsidRDefault="00495779" w:rsidP="007B1CC7">
      <w:pPr>
        <w:spacing w:after="0" w:line="240" w:lineRule="auto"/>
      </w:pPr>
      <w:r>
        <w:separator/>
      </w:r>
    </w:p>
  </w:endnote>
  <w:endnote w:type="continuationSeparator" w:id="0">
    <w:p w:rsidR="00495779" w:rsidRDefault="00495779" w:rsidP="007B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1652"/>
      <w:docPartObj>
        <w:docPartGallery w:val="Page Numbers (Bottom of Page)"/>
        <w:docPartUnique/>
      </w:docPartObj>
    </w:sdtPr>
    <w:sdtEndPr/>
    <w:sdtContent>
      <w:p w:rsidR="00F205EA" w:rsidRDefault="00F205EA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4D5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205EA" w:rsidRDefault="00F205EA" w:rsidP="006B4B1B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779" w:rsidRDefault="00495779" w:rsidP="007B1CC7">
      <w:pPr>
        <w:spacing w:after="0" w:line="240" w:lineRule="auto"/>
      </w:pPr>
      <w:r>
        <w:separator/>
      </w:r>
    </w:p>
  </w:footnote>
  <w:footnote w:type="continuationSeparator" w:id="0">
    <w:p w:rsidR="00495779" w:rsidRDefault="00495779" w:rsidP="007B1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5EA" w:rsidRDefault="00F205EA" w:rsidP="006B08E4">
    <w:pPr>
      <w:pStyle w:val="Zhlav"/>
      <w:jc w:val="both"/>
      <w:rPr>
        <w:b/>
        <w:sz w:val="24"/>
        <w:szCs w:val="24"/>
        <w:lang w:val="cs-CZ"/>
      </w:rPr>
    </w:pPr>
  </w:p>
  <w:p w:rsidR="00F205EA" w:rsidRPr="006B1C8B" w:rsidRDefault="00F205EA" w:rsidP="006B08E4">
    <w:pPr>
      <w:pStyle w:val="Zhlav"/>
      <w:jc w:val="both"/>
      <w:rPr>
        <w:b/>
        <w:sz w:val="24"/>
        <w:szCs w:val="24"/>
        <w:lang w:val="cs-CZ"/>
      </w:rPr>
    </w:pPr>
    <w:r w:rsidRPr="006B1C8B">
      <w:rPr>
        <w:b/>
        <w:sz w:val="24"/>
        <w:szCs w:val="24"/>
        <w:lang w:val="cs-CZ"/>
      </w:rPr>
      <w:t>Žádost zastupitelům hlavního města Prahy o projednání návrhu na zapojení veřejnosti do přípravy Metropolitního územního plánu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622"/>
    <w:multiLevelType w:val="hybridMultilevel"/>
    <w:tmpl w:val="3B1400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2CD8"/>
    <w:multiLevelType w:val="hybridMultilevel"/>
    <w:tmpl w:val="524A39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F0D78"/>
    <w:multiLevelType w:val="hybridMultilevel"/>
    <w:tmpl w:val="E90AC7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720C"/>
    <w:rsid w:val="00061D6D"/>
    <w:rsid w:val="00063A35"/>
    <w:rsid w:val="00072423"/>
    <w:rsid w:val="00094DDC"/>
    <w:rsid w:val="000A13D5"/>
    <w:rsid w:val="00103828"/>
    <w:rsid w:val="00110B31"/>
    <w:rsid w:val="001222CB"/>
    <w:rsid w:val="00144441"/>
    <w:rsid w:val="001D4EA2"/>
    <w:rsid w:val="00225004"/>
    <w:rsid w:val="00233A91"/>
    <w:rsid w:val="0025123B"/>
    <w:rsid w:val="00280468"/>
    <w:rsid w:val="002815A2"/>
    <w:rsid w:val="002A3025"/>
    <w:rsid w:val="002D7811"/>
    <w:rsid w:val="00327F67"/>
    <w:rsid w:val="0035095A"/>
    <w:rsid w:val="00381D4A"/>
    <w:rsid w:val="003A0E08"/>
    <w:rsid w:val="003D1350"/>
    <w:rsid w:val="003D3259"/>
    <w:rsid w:val="004653E9"/>
    <w:rsid w:val="004866F7"/>
    <w:rsid w:val="00495779"/>
    <w:rsid w:val="00523A6B"/>
    <w:rsid w:val="00527BC8"/>
    <w:rsid w:val="00597C59"/>
    <w:rsid w:val="005B212E"/>
    <w:rsid w:val="005B3ED6"/>
    <w:rsid w:val="005D6913"/>
    <w:rsid w:val="00642012"/>
    <w:rsid w:val="00687111"/>
    <w:rsid w:val="0069073D"/>
    <w:rsid w:val="006B08E4"/>
    <w:rsid w:val="006B1C8B"/>
    <w:rsid w:val="006B4B1B"/>
    <w:rsid w:val="006C1DA6"/>
    <w:rsid w:val="006D2FAE"/>
    <w:rsid w:val="00736661"/>
    <w:rsid w:val="007616BD"/>
    <w:rsid w:val="007745FE"/>
    <w:rsid w:val="007925D1"/>
    <w:rsid w:val="007B1CC7"/>
    <w:rsid w:val="007C417C"/>
    <w:rsid w:val="007D420E"/>
    <w:rsid w:val="007F4D50"/>
    <w:rsid w:val="008003A9"/>
    <w:rsid w:val="00857334"/>
    <w:rsid w:val="00896480"/>
    <w:rsid w:val="008A60B1"/>
    <w:rsid w:val="008A62C3"/>
    <w:rsid w:val="008D5A98"/>
    <w:rsid w:val="00900AE6"/>
    <w:rsid w:val="00901F8C"/>
    <w:rsid w:val="00914557"/>
    <w:rsid w:val="0096089D"/>
    <w:rsid w:val="0098160C"/>
    <w:rsid w:val="009A08C6"/>
    <w:rsid w:val="009A19A9"/>
    <w:rsid w:val="009C68A5"/>
    <w:rsid w:val="009C7B94"/>
    <w:rsid w:val="009E54BB"/>
    <w:rsid w:val="009E79FD"/>
    <w:rsid w:val="00A33D43"/>
    <w:rsid w:val="00A54410"/>
    <w:rsid w:val="00A55634"/>
    <w:rsid w:val="00A72B54"/>
    <w:rsid w:val="00A769AC"/>
    <w:rsid w:val="00A90954"/>
    <w:rsid w:val="00B25831"/>
    <w:rsid w:val="00B43869"/>
    <w:rsid w:val="00B57F31"/>
    <w:rsid w:val="00B703E7"/>
    <w:rsid w:val="00B75220"/>
    <w:rsid w:val="00BB5CB3"/>
    <w:rsid w:val="00BC354E"/>
    <w:rsid w:val="00BD3375"/>
    <w:rsid w:val="00C2288B"/>
    <w:rsid w:val="00C37135"/>
    <w:rsid w:val="00CC19D4"/>
    <w:rsid w:val="00CF6BE0"/>
    <w:rsid w:val="00D31129"/>
    <w:rsid w:val="00D33FD2"/>
    <w:rsid w:val="00D51AD4"/>
    <w:rsid w:val="00D66202"/>
    <w:rsid w:val="00D94B8B"/>
    <w:rsid w:val="00DC7568"/>
    <w:rsid w:val="00DD6FB1"/>
    <w:rsid w:val="00DF6E51"/>
    <w:rsid w:val="00E23CA1"/>
    <w:rsid w:val="00E45927"/>
    <w:rsid w:val="00E50946"/>
    <w:rsid w:val="00E51D76"/>
    <w:rsid w:val="00E5786D"/>
    <w:rsid w:val="00F1186A"/>
    <w:rsid w:val="00F205EA"/>
    <w:rsid w:val="00F74767"/>
    <w:rsid w:val="00F85242"/>
    <w:rsid w:val="00FB3425"/>
    <w:rsid w:val="00FC720C"/>
    <w:rsid w:val="00FD4FB6"/>
    <w:rsid w:val="00FF2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3A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F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747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47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47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7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76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76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B1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1CC7"/>
  </w:style>
  <w:style w:type="paragraph" w:styleId="Zpat">
    <w:name w:val="footer"/>
    <w:basedOn w:val="Normln"/>
    <w:link w:val="ZpatChar"/>
    <w:uiPriority w:val="99"/>
    <w:unhideWhenUsed/>
    <w:rsid w:val="007B1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1CC7"/>
  </w:style>
  <w:style w:type="paragraph" w:styleId="Odstavecseseznamem">
    <w:name w:val="List Paragraph"/>
    <w:basedOn w:val="Normln"/>
    <w:uiPriority w:val="34"/>
    <w:qFormat/>
    <w:rsid w:val="009C7B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F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747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47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47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7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76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76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B1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1CC7"/>
  </w:style>
  <w:style w:type="paragraph" w:styleId="Zpat">
    <w:name w:val="footer"/>
    <w:basedOn w:val="Normln"/>
    <w:link w:val="ZpatChar"/>
    <w:uiPriority w:val="99"/>
    <w:unhideWhenUsed/>
    <w:rsid w:val="007B1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1CC7"/>
  </w:style>
  <w:style w:type="paragraph" w:styleId="Odstavecseseznamem">
    <w:name w:val="List Paragraph"/>
    <w:basedOn w:val="Normln"/>
    <w:uiPriority w:val="34"/>
    <w:qFormat/>
    <w:rsid w:val="009C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9E7ED-D223-4471-A9B6-CD8EE1A5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2770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Vendulka</dc:creator>
  <cp:lastModifiedBy>michal.krivohlavek@outlook.cz</cp:lastModifiedBy>
  <cp:revision>6</cp:revision>
  <cp:lastPrinted>2015-10-01T09:42:00Z</cp:lastPrinted>
  <dcterms:created xsi:type="dcterms:W3CDTF">2015-09-11T10:22:00Z</dcterms:created>
  <dcterms:modified xsi:type="dcterms:W3CDTF">2015-10-01T09:48:00Z</dcterms:modified>
</cp:coreProperties>
</file>